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A6" w:rsidRDefault="00180EA6" w:rsidP="00180EA6">
      <w:pPr>
        <w:spacing w:after="0" w:line="240" w:lineRule="auto"/>
        <w:rPr>
          <w:rFonts w:cs="Times New Roman"/>
          <w:b/>
          <w:sz w:val="28"/>
        </w:rPr>
      </w:pPr>
      <w:r w:rsidRPr="00CA3649">
        <w:rPr>
          <w:b/>
          <w:noProof/>
          <w:sz w:val="26"/>
        </w:rPr>
        <w:drawing>
          <wp:inline distT="0" distB="0" distL="0" distR="0" wp14:anchorId="4D3B59DD" wp14:editId="78F3422E">
            <wp:extent cx="4292600" cy="1010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809" cy="1013367"/>
                    </a:xfrm>
                    <a:prstGeom prst="rect">
                      <a:avLst/>
                    </a:prstGeom>
                    <a:noFill/>
                    <a:ln>
                      <a:noFill/>
                    </a:ln>
                  </pic:spPr>
                </pic:pic>
              </a:graphicData>
            </a:graphic>
          </wp:inline>
        </w:drawing>
      </w:r>
    </w:p>
    <w:p w:rsidR="00180EA6" w:rsidRPr="00180EA6" w:rsidRDefault="00180EA6" w:rsidP="00180EA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Times New Roman"/>
          <w:b/>
          <w:color w:val="1F497D" w:themeColor="text2"/>
          <w:sz w:val="32"/>
        </w:rPr>
      </w:pPr>
      <w:r w:rsidRPr="00180EA6">
        <w:rPr>
          <w:rFonts w:cs="Times New Roman"/>
          <w:b/>
          <w:color w:val="1F497D" w:themeColor="text2"/>
          <w:sz w:val="32"/>
        </w:rPr>
        <w:t>Introduction to Qualitative Research Methods</w:t>
      </w:r>
    </w:p>
    <w:p w:rsidR="00180EA6" w:rsidRDefault="00180EA6" w:rsidP="00235752">
      <w:pPr>
        <w:spacing w:after="0" w:line="240" w:lineRule="auto"/>
        <w:jc w:val="center"/>
        <w:rPr>
          <w:rFonts w:cs="Times New Roman"/>
          <w:b/>
          <w:sz w:val="28"/>
        </w:rPr>
      </w:pPr>
    </w:p>
    <w:p w:rsidR="00235752" w:rsidRPr="00235752" w:rsidRDefault="005C6292" w:rsidP="00180EA6">
      <w:pPr>
        <w:spacing w:after="0" w:line="240" w:lineRule="auto"/>
        <w:jc w:val="center"/>
        <w:rPr>
          <w:rFonts w:cs="Times New Roman"/>
          <w:b/>
          <w:sz w:val="28"/>
        </w:rPr>
      </w:pPr>
      <w:r w:rsidRPr="00235752">
        <w:rPr>
          <w:rFonts w:cs="Times New Roman"/>
          <w:b/>
          <w:sz w:val="28"/>
        </w:rPr>
        <w:t>CHL</w:t>
      </w:r>
      <w:r>
        <w:rPr>
          <w:rFonts w:cs="Times New Roman"/>
          <w:b/>
          <w:sz w:val="28"/>
        </w:rPr>
        <w:t>5811H</w:t>
      </w:r>
      <w:r w:rsidR="00FE303B">
        <w:rPr>
          <w:rFonts w:cs="Times New Roman"/>
          <w:b/>
          <w:sz w:val="28"/>
        </w:rPr>
        <w:t xml:space="preserve"> </w:t>
      </w:r>
    </w:p>
    <w:p w:rsidR="00235752" w:rsidRPr="00235752" w:rsidRDefault="00235752" w:rsidP="00235752">
      <w:pPr>
        <w:spacing w:after="0" w:line="240" w:lineRule="auto"/>
        <w:jc w:val="center"/>
        <w:rPr>
          <w:rFonts w:cs="Times New Roman"/>
          <w:b/>
          <w:sz w:val="28"/>
        </w:rPr>
      </w:pPr>
      <w:r w:rsidRPr="00235752">
        <w:rPr>
          <w:rFonts w:cs="Times New Roman"/>
          <w:b/>
          <w:sz w:val="28"/>
        </w:rPr>
        <w:t>Course Syllabus</w:t>
      </w:r>
    </w:p>
    <w:p w:rsidR="00235752" w:rsidRPr="00235752" w:rsidRDefault="00FE303B" w:rsidP="00235752">
      <w:pPr>
        <w:spacing w:after="0" w:line="240" w:lineRule="auto"/>
        <w:jc w:val="center"/>
        <w:rPr>
          <w:rFonts w:cs="Times New Roman"/>
          <w:b/>
          <w:sz w:val="28"/>
        </w:rPr>
      </w:pPr>
      <w:r>
        <w:rPr>
          <w:rFonts w:cs="Times New Roman"/>
          <w:b/>
          <w:sz w:val="28"/>
        </w:rPr>
        <w:t xml:space="preserve">Winter 2021 </w:t>
      </w:r>
    </w:p>
    <w:p w:rsidR="00235752" w:rsidRPr="00235752" w:rsidRDefault="00235752" w:rsidP="00235752">
      <w:pPr>
        <w:jc w:val="center"/>
        <w:rPr>
          <w:rFonts w:cs="Times New Roman"/>
          <w:b/>
          <w:sz w:val="20"/>
        </w:rPr>
      </w:pPr>
    </w:p>
    <w:p w:rsidR="00235752" w:rsidRPr="00744A07" w:rsidRDefault="00235752" w:rsidP="00180EA6">
      <w:pPr>
        <w:pBdr>
          <w:top w:val="single" w:sz="4" w:space="1" w:color="auto"/>
        </w:pBdr>
        <w:jc w:val="both"/>
        <w:rPr>
          <w:rFonts w:cs="Times New Roman"/>
        </w:rPr>
      </w:pPr>
      <w:r w:rsidRPr="00744A07">
        <w:rPr>
          <w:rFonts w:cs="Times New Roman"/>
          <w:b/>
        </w:rPr>
        <w:t>Time</w:t>
      </w:r>
      <w:r w:rsidRPr="00744A07">
        <w:rPr>
          <w:rFonts w:cs="Times New Roman"/>
        </w:rPr>
        <w:t xml:space="preserve">: Monday 1:00 pm </w:t>
      </w:r>
      <w:r w:rsidR="00180EA6">
        <w:rPr>
          <w:rFonts w:cs="Times New Roman"/>
        </w:rPr>
        <w:t>– 3:15 pm</w:t>
      </w:r>
    </w:p>
    <w:p w:rsidR="00235752" w:rsidRDefault="00235752" w:rsidP="004C077D">
      <w:pPr>
        <w:spacing w:after="0" w:line="240" w:lineRule="auto"/>
        <w:jc w:val="both"/>
        <w:rPr>
          <w:rFonts w:cs="Times New Roman"/>
        </w:rPr>
      </w:pPr>
      <w:r w:rsidRPr="00744A07">
        <w:rPr>
          <w:rFonts w:cs="Times New Roman"/>
          <w:b/>
        </w:rPr>
        <w:t>Place</w:t>
      </w:r>
      <w:r w:rsidRPr="00744A07">
        <w:rPr>
          <w:rFonts w:cs="Times New Roman"/>
        </w:rPr>
        <w:t>:</w:t>
      </w:r>
      <w:r w:rsidRPr="00744A07">
        <w:rPr>
          <w:rFonts w:cs="Times New Roman"/>
        </w:rPr>
        <w:tab/>
      </w:r>
      <w:r w:rsidR="004C077D">
        <w:rPr>
          <w:rFonts w:cs="Times New Roman"/>
        </w:rPr>
        <w:t>Zoom Room (detailed information will be posted on Quercus)</w:t>
      </w:r>
    </w:p>
    <w:p w:rsidR="00294861" w:rsidRPr="00235752" w:rsidRDefault="00294861" w:rsidP="00235752">
      <w:pPr>
        <w:pStyle w:val="Default"/>
        <w:pBdr>
          <w:bottom w:val="single" w:sz="4" w:space="1" w:color="auto"/>
        </w:pBdr>
        <w:ind w:firstLine="720"/>
        <w:rPr>
          <w:rFonts w:ascii="Times New Roman" w:hAnsi="Times New Roman" w:cs="Times New Roman"/>
          <w:sz w:val="22"/>
        </w:rPr>
      </w:pPr>
    </w:p>
    <w:p w:rsidR="00235752" w:rsidRPr="00235752" w:rsidRDefault="00235752" w:rsidP="00235752">
      <w:pPr>
        <w:spacing w:after="0" w:line="240" w:lineRule="auto"/>
        <w:jc w:val="both"/>
        <w:rPr>
          <w:rFonts w:cs="Times New Roman"/>
          <w:b/>
        </w:rPr>
      </w:pPr>
    </w:p>
    <w:p w:rsidR="00180EA6" w:rsidRPr="00793AD8" w:rsidRDefault="00180EA6" w:rsidP="00180EA6">
      <w:pPr>
        <w:pStyle w:val="Footer"/>
        <w:tabs>
          <w:tab w:val="left" w:pos="3600"/>
        </w:tabs>
        <w:spacing w:after="120"/>
        <w:rPr>
          <w:b/>
          <w:lang w:val="en-CA"/>
        </w:rPr>
      </w:pPr>
      <w:r w:rsidRPr="00836B50">
        <w:rPr>
          <w:b/>
          <w:lang w:val="en-CA"/>
        </w:rPr>
        <w:t xml:space="preserve">Instructor: </w:t>
      </w:r>
      <w:r>
        <w:rPr>
          <w:b/>
          <w:lang w:val="en-CA"/>
        </w:rPr>
        <w:t xml:space="preserve">Dr. Juando-Prats. </w:t>
      </w:r>
      <w:r w:rsidRPr="004333F6">
        <w:rPr>
          <w:lang w:val="en-CA"/>
        </w:rPr>
        <w:t>Office hours by appointment (Zoom</w:t>
      </w:r>
      <w:r>
        <w:rPr>
          <w:lang w:val="en-CA"/>
        </w:rPr>
        <w:t>, Phone, Skype,</w:t>
      </w:r>
      <w:r w:rsidRPr="004333F6">
        <w:rPr>
          <w:lang w:val="en-CA"/>
        </w:rPr>
        <w:t xml:space="preserve"> or Windows Teams)</w:t>
      </w:r>
    </w:p>
    <w:p w:rsidR="0037381D" w:rsidRDefault="00235752" w:rsidP="00235752">
      <w:pPr>
        <w:spacing w:after="0" w:line="240" w:lineRule="auto"/>
        <w:jc w:val="both"/>
        <w:rPr>
          <w:rFonts w:cs="Times New Roman"/>
        </w:rPr>
      </w:pPr>
      <w:r w:rsidRPr="00235752">
        <w:rPr>
          <w:rFonts w:cs="Times New Roman"/>
          <w:b/>
        </w:rPr>
        <w:t>Email</w:t>
      </w:r>
      <w:r w:rsidRPr="00235752">
        <w:rPr>
          <w:rFonts w:cs="Times New Roman"/>
        </w:rPr>
        <w:t xml:space="preserve">: </w:t>
      </w:r>
      <w:hyperlink r:id="rId9" w:history="1">
        <w:r w:rsidR="00F734C6" w:rsidRPr="00072B69">
          <w:rPr>
            <w:rStyle w:val="Hyperlink"/>
            <w:rFonts w:cs="Times New Roman"/>
          </w:rPr>
          <w:t>clara.juando@utoronto.ca</w:t>
        </w:r>
      </w:hyperlink>
    </w:p>
    <w:p w:rsidR="00235752" w:rsidRDefault="00235752" w:rsidP="00235752">
      <w:pPr>
        <w:pBdr>
          <w:bottom w:val="single" w:sz="4" w:space="1" w:color="auto"/>
        </w:pBdr>
        <w:spacing w:after="0" w:line="240" w:lineRule="auto"/>
        <w:jc w:val="both"/>
        <w:rPr>
          <w:sz w:val="24"/>
        </w:rPr>
      </w:pPr>
    </w:p>
    <w:p w:rsidR="00235752" w:rsidRDefault="00235752" w:rsidP="00235752">
      <w:pPr>
        <w:spacing w:after="0" w:line="240" w:lineRule="auto"/>
        <w:jc w:val="both"/>
        <w:rPr>
          <w:sz w:val="24"/>
        </w:rPr>
      </w:pPr>
    </w:p>
    <w:p w:rsidR="00235752" w:rsidRPr="00E240E8" w:rsidRDefault="00235752" w:rsidP="00235752">
      <w:pPr>
        <w:spacing w:after="0" w:line="240" w:lineRule="auto"/>
        <w:jc w:val="both"/>
        <w:rPr>
          <w:b/>
          <w:sz w:val="24"/>
        </w:rPr>
      </w:pPr>
      <w:r w:rsidRPr="00E240E8">
        <w:rPr>
          <w:b/>
          <w:sz w:val="24"/>
        </w:rPr>
        <w:t xml:space="preserve">Teaching Assistants: </w:t>
      </w:r>
    </w:p>
    <w:p w:rsidR="00235752" w:rsidRDefault="00235752" w:rsidP="00235752">
      <w:pPr>
        <w:spacing w:after="0" w:line="240" w:lineRule="auto"/>
        <w:jc w:val="both"/>
        <w:rPr>
          <w:sz w:val="24"/>
        </w:rPr>
      </w:pPr>
    </w:p>
    <w:p w:rsidR="00180EA6" w:rsidRPr="00180EA6" w:rsidRDefault="00180EA6" w:rsidP="00180EA6">
      <w:pPr>
        <w:pStyle w:val="ListParagraph"/>
        <w:numPr>
          <w:ilvl w:val="0"/>
          <w:numId w:val="6"/>
        </w:numPr>
        <w:spacing w:after="0" w:line="240" w:lineRule="auto"/>
        <w:jc w:val="both"/>
      </w:pPr>
      <w:r w:rsidRPr="00180EA6">
        <w:t>Monica Gagnon</w:t>
      </w:r>
    </w:p>
    <w:p w:rsidR="00180EA6" w:rsidRPr="00180EA6" w:rsidRDefault="00180EA6" w:rsidP="00180EA6">
      <w:pPr>
        <w:pStyle w:val="ListParagraph"/>
        <w:numPr>
          <w:ilvl w:val="0"/>
          <w:numId w:val="6"/>
        </w:numPr>
        <w:spacing w:after="0" w:line="240" w:lineRule="auto"/>
        <w:jc w:val="both"/>
      </w:pPr>
      <w:r w:rsidRPr="00180EA6">
        <w:t>Shamim Ahmed</w:t>
      </w:r>
    </w:p>
    <w:p w:rsidR="00180EA6" w:rsidRPr="00180EA6" w:rsidRDefault="00180EA6" w:rsidP="00180EA6">
      <w:pPr>
        <w:pStyle w:val="ListParagraph"/>
        <w:numPr>
          <w:ilvl w:val="0"/>
          <w:numId w:val="6"/>
        </w:numPr>
        <w:spacing w:after="0" w:line="240" w:lineRule="auto"/>
        <w:jc w:val="both"/>
      </w:pPr>
      <w:r w:rsidRPr="00180EA6">
        <w:t>Rebecca Balasa</w:t>
      </w:r>
    </w:p>
    <w:p w:rsidR="00294861" w:rsidRPr="00180EA6" w:rsidRDefault="003D3011" w:rsidP="00180EA6">
      <w:pPr>
        <w:pStyle w:val="ListParagraph"/>
        <w:numPr>
          <w:ilvl w:val="0"/>
          <w:numId w:val="6"/>
        </w:numPr>
        <w:spacing w:after="0" w:line="240" w:lineRule="auto"/>
        <w:jc w:val="both"/>
      </w:pPr>
      <w:r w:rsidRPr="00180EA6">
        <w:t>TBD</w:t>
      </w:r>
    </w:p>
    <w:p w:rsidR="00235752" w:rsidRDefault="00235752" w:rsidP="002E28A2">
      <w:pPr>
        <w:pBdr>
          <w:bottom w:val="single" w:sz="4" w:space="1" w:color="auto"/>
        </w:pBdr>
        <w:spacing w:after="0" w:line="240" w:lineRule="auto"/>
        <w:jc w:val="both"/>
        <w:rPr>
          <w:sz w:val="24"/>
        </w:rPr>
      </w:pPr>
    </w:p>
    <w:p w:rsidR="002E28A2" w:rsidRDefault="002E28A2" w:rsidP="00235752">
      <w:pPr>
        <w:spacing w:after="0" w:line="240" w:lineRule="auto"/>
        <w:jc w:val="both"/>
        <w:rPr>
          <w:sz w:val="24"/>
        </w:rPr>
      </w:pPr>
    </w:p>
    <w:p w:rsidR="002E28A2" w:rsidRDefault="002E28A2" w:rsidP="002E28A2">
      <w:pPr>
        <w:pStyle w:val="Heading2"/>
      </w:pPr>
      <w:r>
        <w:t>Prerequisites</w:t>
      </w:r>
    </w:p>
    <w:p w:rsidR="002E28A2" w:rsidRDefault="002E28A2" w:rsidP="002E28A2">
      <w:r>
        <w:t xml:space="preserve">There are no prerequisites for this course. CHL </w:t>
      </w:r>
      <w:r w:rsidR="00180EA6">
        <w:t>5811H</w:t>
      </w:r>
      <w:r>
        <w:t xml:space="preserve"> is a requirement for MPH Health Promotion and Community Nutrition students. Students from other programs and fields will be admitted space permitting with </w:t>
      </w:r>
      <w:r w:rsidR="003D3011">
        <w:t xml:space="preserve">the </w:t>
      </w:r>
      <w:r>
        <w:t xml:space="preserve">permission of the </w:t>
      </w:r>
      <w:r w:rsidR="00CD76ED">
        <w:t>professor</w:t>
      </w:r>
      <w:r>
        <w:t xml:space="preserve">. </w:t>
      </w:r>
    </w:p>
    <w:p w:rsidR="00180EA6" w:rsidRDefault="00180EA6" w:rsidP="00180EA6">
      <w:pPr>
        <w:pStyle w:val="Heading2"/>
        <w:spacing w:before="0" w:after="120"/>
      </w:pPr>
      <w:r>
        <w:t>Land Acknowledgement</w:t>
      </w:r>
    </w:p>
    <w:p w:rsidR="00180EA6" w:rsidRDefault="00180EA6" w:rsidP="00180EA6">
      <w:pPr>
        <w:spacing w:after="120"/>
      </w:pPr>
      <w:r>
        <w:t xml:space="preserve">We would like to acknowledge the traditional territories of the Mississauga of the New Credit First Nation, Anishnawbe, Wendat, Huron, and Haudenosaunee Indigenous Peoples on which the Dalla Lana School of Public Health now stands. The territory was the subject of the Dish With One Spoon wampum Belt Covenant, an agreement between the Iroquois Confederacy and Confederacy of the Ojibwe and allied nations to peaceably share and care for the resources around the Great Lakes. We would also like to pay our respects to all ancestors and to the present Elders. We would like to thank all members of the natural world, to thank each other as People. We give thanks to all the Waters of the world, the Fish of </w:t>
      </w:r>
      <w:r>
        <w:lastRenderedPageBreak/>
        <w:t>life, the Food Plants, the Herbs, the beautiful animal life, all the birds, the Four Winds, The Thunder Beings, the Moon, and to each one of us.</w:t>
      </w:r>
    </w:p>
    <w:p w:rsidR="002E28A2" w:rsidRDefault="002E28A2" w:rsidP="002E28A2">
      <w:pPr>
        <w:pStyle w:val="Heading2"/>
      </w:pPr>
      <w:r>
        <w:t>Acknowledgment</w:t>
      </w:r>
      <w:r w:rsidR="00180EA6">
        <w:t xml:space="preserve"> of Intellectual Contribution</w:t>
      </w:r>
    </w:p>
    <w:p w:rsidR="002E28A2" w:rsidRDefault="002E28A2" w:rsidP="002E28A2">
      <w:r>
        <w:t>The Professor gratefully acknowledges the intellectual and creative contributions of Dan Allman, Ann Fox, Blake Poland</w:t>
      </w:r>
      <w:r w:rsidR="00180EA6">
        <w:t>,</w:t>
      </w:r>
      <w:r>
        <w:t xml:space="preserve"> and the </w:t>
      </w:r>
      <w:r w:rsidR="003D3011">
        <w:t>Centre for Critical Qualitative Health Research to planning and implementing</w:t>
      </w:r>
      <w:r>
        <w:t xml:space="preserve"> of earlier versions of this course. </w:t>
      </w:r>
    </w:p>
    <w:p w:rsidR="002E28A2" w:rsidRDefault="002E28A2" w:rsidP="002E28A2">
      <w:pPr>
        <w:pStyle w:val="Heading2"/>
      </w:pPr>
      <w:r>
        <w:t>Course Description</w:t>
      </w:r>
    </w:p>
    <w:p w:rsidR="002E28A2" w:rsidRDefault="002E28A2" w:rsidP="00C449C6">
      <w:r>
        <w:t>This is an introductory course intended for Master</w:t>
      </w:r>
      <w:r w:rsidR="00A37473">
        <w:t>'s</w:t>
      </w:r>
      <w:r>
        <w:t xml:space="preserve"> students in public health with limited prior exposure to qualitative research. Students will acquire an introductory-level understanding of qualitative </w:t>
      </w:r>
      <w:r w:rsidR="00180EA6">
        <w:t>inquiry</w:t>
      </w:r>
      <w:r w:rsidR="00092A7F">
        <w:t xml:space="preserve">; it will provide students with an understanding of the foundations, </w:t>
      </w:r>
      <w:r w:rsidR="00601614">
        <w:t xml:space="preserve">theory, </w:t>
      </w:r>
      <w:r w:rsidR="00092A7F">
        <w:t xml:space="preserve">approaches, and methods associated with qualitative </w:t>
      </w:r>
      <w:r w:rsidR="00180EA6">
        <w:t>research</w:t>
      </w:r>
      <w:r w:rsidR="00092A7F">
        <w:t xml:space="preserve">, </w:t>
      </w:r>
      <w:r>
        <w:t>become informed consumers of qualitative research, and begin to plan and implement qualitative approaches to public health inquiry. Students pursuing qualitative research for master</w:t>
      </w:r>
      <w:r w:rsidR="00A37473">
        <w:t>'s</w:t>
      </w:r>
      <w:r>
        <w:t xml:space="preserve"> or doctoral thesis work will need to take additional courses to acquire the required proficiency for that level of work. </w:t>
      </w:r>
    </w:p>
    <w:p w:rsidR="002E28A2" w:rsidRDefault="002E28A2" w:rsidP="00C449C6">
      <w:r>
        <w:t>This course covers a range of issues including the theoretical gro</w:t>
      </w:r>
      <w:r w:rsidR="00C449C6">
        <w:t>unding of qualitative research</w:t>
      </w:r>
      <w:r>
        <w:t xml:space="preserve">, </w:t>
      </w:r>
      <w:r w:rsidR="00CD76ED">
        <w:t>reflexive practice,</w:t>
      </w:r>
      <w:r w:rsidR="00180EA6">
        <w:t xml:space="preserve"> some</w:t>
      </w:r>
      <w:r w:rsidR="00CD76ED">
        <w:t xml:space="preserve"> </w:t>
      </w:r>
      <w:r w:rsidR="00C449C6">
        <w:t>methods of data collection and analysis,</w:t>
      </w:r>
      <w:r>
        <w:t xml:space="preserve"> application of qualitative research to the exploration of public heal</w:t>
      </w:r>
      <w:r w:rsidR="00805D96">
        <w:t>th issues</w:t>
      </w:r>
      <w:r w:rsidR="00CD76ED">
        <w:t>, appraisal of qualitative research, and writing of grant proposals</w:t>
      </w:r>
      <w:r w:rsidR="00601614">
        <w:t>. The assigned readings, videos</w:t>
      </w:r>
      <w:r w:rsidR="00180EA6">
        <w:t>,</w:t>
      </w:r>
      <w:r w:rsidR="00601614">
        <w:t xml:space="preserve"> and other media</w:t>
      </w:r>
      <w:r w:rsidR="00805D96">
        <w:t>,</w:t>
      </w:r>
      <w:r>
        <w:t xml:space="preserve"> for each session</w:t>
      </w:r>
      <w:r w:rsidR="00180EA6">
        <w:t>,</w:t>
      </w:r>
      <w:r>
        <w:t xml:space="preserve"> include both theoretical and applied material. Assignments </w:t>
      </w:r>
      <w:r w:rsidR="00180EA6">
        <w:t>allow students</w:t>
      </w:r>
      <w:r>
        <w:t xml:space="preserve"> to begin to develop new skills and learn by doing</w:t>
      </w:r>
      <w:r w:rsidR="00601614">
        <w:t>, writing, presenting</w:t>
      </w:r>
      <w:r>
        <w:t xml:space="preserve">, as well as by reflecting on aspects of qualitative research. </w:t>
      </w:r>
    </w:p>
    <w:p w:rsidR="0013268F" w:rsidRDefault="0013268F" w:rsidP="00C449C6">
      <w:r>
        <w:t>This course will take place online, students will need a device (desktop computer, notebook</w:t>
      </w:r>
      <w:r w:rsidR="00180EA6">
        <w:t>,</w:t>
      </w:r>
      <w:r>
        <w:t xml:space="preserve"> or laptop) for remote learning and internet connection</w:t>
      </w:r>
      <w:r w:rsidR="00180EA6">
        <w:t>,</w:t>
      </w:r>
      <w:r>
        <w:t xml:space="preserve"> classes and all activities will take place online. </w:t>
      </w:r>
      <w:r w:rsidR="00180EA6">
        <w:t>Accommodations are available for students in a different time zone, with internet connection issues, or for other reasons.</w:t>
      </w:r>
    </w:p>
    <w:p w:rsidR="002E28A2" w:rsidRDefault="00805D96" w:rsidP="00805D96">
      <w:pPr>
        <w:pStyle w:val="Heading2"/>
      </w:pPr>
      <w:r>
        <w:t>Course Objectives</w:t>
      </w:r>
    </w:p>
    <w:p w:rsidR="00805D96" w:rsidRDefault="00805D96" w:rsidP="00D35A14">
      <w:r>
        <w:t xml:space="preserve">Through course readings, learning activities, videos, </w:t>
      </w:r>
      <w:r w:rsidR="00601614">
        <w:t xml:space="preserve">creative exercises, </w:t>
      </w:r>
      <w:r>
        <w:t xml:space="preserve">assignments and other related work students will be able to: </w:t>
      </w:r>
    </w:p>
    <w:p w:rsidR="00805D96" w:rsidRDefault="00805D96" w:rsidP="00E240E8">
      <w:pPr>
        <w:spacing w:after="0" w:line="240" w:lineRule="auto"/>
        <w:ind w:left="360"/>
      </w:pPr>
      <w:r>
        <w:t>1.</w:t>
      </w:r>
      <w:r>
        <w:rPr>
          <w:rFonts w:ascii="Arial" w:hAnsi="Arial" w:cs="Arial"/>
        </w:rPr>
        <w:t xml:space="preserve"> </w:t>
      </w:r>
      <w:r>
        <w:t xml:space="preserve">Discuss the diversity, breadth, nature, complexity, and application of qualitative research. </w:t>
      </w:r>
    </w:p>
    <w:p w:rsidR="00805D96" w:rsidRDefault="00805D96" w:rsidP="00E240E8">
      <w:pPr>
        <w:spacing w:after="0" w:line="240" w:lineRule="auto"/>
        <w:ind w:left="360"/>
      </w:pPr>
      <w:r>
        <w:t>2.</w:t>
      </w:r>
      <w:r>
        <w:rPr>
          <w:rFonts w:ascii="Arial" w:hAnsi="Arial" w:cs="Arial"/>
        </w:rPr>
        <w:t xml:space="preserve"> </w:t>
      </w:r>
      <w:r>
        <w:t>Collect/generate and analyze data in qualitative inquiry.</w:t>
      </w:r>
    </w:p>
    <w:p w:rsidR="00805D96" w:rsidRDefault="00805D96" w:rsidP="00E240E8">
      <w:pPr>
        <w:spacing w:after="0" w:line="240" w:lineRule="auto"/>
        <w:ind w:left="360"/>
      </w:pPr>
      <w:r>
        <w:t>3.</w:t>
      </w:r>
      <w:r>
        <w:rPr>
          <w:rFonts w:ascii="Arial" w:hAnsi="Arial" w:cs="Arial"/>
        </w:rPr>
        <w:t xml:space="preserve"> </w:t>
      </w:r>
      <w:r>
        <w:t xml:space="preserve">Interpret and describe qualitative research findings. </w:t>
      </w:r>
    </w:p>
    <w:p w:rsidR="00805D96" w:rsidRDefault="00805D96" w:rsidP="00E240E8">
      <w:pPr>
        <w:spacing w:after="0" w:line="240" w:lineRule="auto"/>
        <w:ind w:left="360"/>
      </w:pPr>
      <w:r>
        <w:t>4.</w:t>
      </w:r>
      <w:r>
        <w:rPr>
          <w:rFonts w:ascii="Arial" w:hAnsi="Arial" w:cs="Arial"/>
        </w:rPr>
        <w:t xml:space="preserve"> </w:t>
      </w:r>
      <w:r>
        <w:t xml:space="preserve">Develop research proposals for qualitative research, with an emphasis on contemporary </w:t>
      </w:r>
      <w:r w:rsidR="00A96483">
        <w:t xml:space="preserve">SSHRC and </w:t>
      </w:r>
      <w:r w:rsidR="00180EA6">
        <w:t xml:space="preserve">CIHR </w:t>
      </w:r>
      <w:r>
        <w:t xml:space="preserve">practices. </w:t>
      </w:r>
    </w:p>
    <w:p w:rsidR="00805D96" w:rsidRDefault="00805D96" w:rsidP="00E240E8">
      <w:pPr>
        <w:spacing w:after="0" w:line="240" w:lineRule="auto"/>
        <w:ind w:left="360"/>
      </w:pPr>
      <w:r>
        <w:t>5.</w:t>
      </w:r>
      <w:r>
        <w:rPr>
          <w:rFonts w:ascii="Arial" w:hAnsi="Arial" w:cs="Arial"/>
        </w:rPr>
        <w:t xml:space="preserve"> </w:t>
      </w:r>
      <w:r>
        <w:t xml:space="preserve">Discuss research ethics and examine areas of sensitivity with regards to qualitative research </w:t>
      </w:r>
      <w:r w:rsidR="00601614">
        <w:t xml:space="preserve">approaches and </w:t>
      </w:r>
      <w:r>
        <w:t xml:space="preserve">methods. </w:t>
      </w:r>
    </w:p>
    <w:p w:rsidR="00805D96" w:rsidRDefault="00805D96" w:rsidP="00E240E8">
      <w:pPr>
        <w:spacing w:after="0" w:line="240" w:lineRule="auto"/>
        <w:ind w:left="360"/>
      </w:pPr>
      <w:r>
        <w:t>6.</w:t>
      </w:r>
      <w:r>
        <w:rPr>
          <w:rFonts w:ascii="Arial" w:hAnsi="Arial" w:cs="Arial"/>
        </w:rPr>
        <w:t xml:space="preserve"> </w:t>
      </w:r>
      <w:r>
        <w:t xml:space="preserve">Identify potential strengths and limitations of qualitative research within students’ own areas of </w:t>
      </w:r>
      <w:r w:rsidR="00180EA6">
        <w:t>interest</w:t>
      </w:r>
      <w:r>
        <w:t xml:space="preserve"> and public health practice. </w:t>
      </w:r>
    </w:p>
    <w:p w:rsidR="00805D96" w:rsidRPr="00805D96" w:rsidRDefault="00805D96" w:rsidP="00E240E8">
      <w:pPr>
        <w:spacing w:after="0" w:line="240" w:lineRule="auto"/>
        <w:ind w:left="360"/>
      </w:pPr>
      <w:r>
        <w:t>7.</w:t>
      </w:r>
      <w:r>
        <w:rPr>
          <w:rFonts w:ascii="Arial" w:hAnsi="Arial" w:cs="Arial"/>
        </w:rPr>
        <w:t xml:space="preserve"> </w:t>
      </w:r>
      <w:r w:rsidR="00180EA6">
        <w:t>Learn and a</w:t>
      </w:r>
      <w:r>
        <w:t>pply constructive and critical reflexivity</w:t>
      </w:r>
      <w:r w:rsidR="00601614">
        <w:t xml:space="preserve"> through discussion and written or </w:t>
      </w:r>
      <w:r>
        <w:t xml:space="preserve">visual work. </w:t>
      </w:r>
    </w:p>
    <w:p w:rsidR="002E28A2" w:rsidRDefault="00180EA6" w:rsidP="00525EAC">
      <w:pPr>
        <w:pStyle w:val="Heading2"/>
      </w:pPr>
      <w:r>
        <w:t>Cou</w:t>
      </w:r>
      <w:r w:rsidR="000112E1">
        <w:t>r</w:t>
      </w:r>
      <w:r w:rsidR="00525EAC">
        <w:t>se Format</w:t>
      </w:r>
    </w:p>
    <w:p w:rsidR="00525EAC" w:rsidRDefault="00525EAC" w:rsidP="00D35A14">
      <w:r>
        <w:t>This course draws on a variety of approaches to teaching and learning qualitative research: mini-lectures, guest presentations, reflexive exercises, digital stories, individual experience and group discussion of readings (literature on qualitative research &amp; exemplars of qualitative research), fieldwork exercises, in-</w:t>
      </w:r>
      <w:r>
        <w:lastRenderedPageBreak/>
        <w:t>class exercises, and take</w:t>
      </w:r>
      <w:r w:rsidR="0035233F">
        <w:t>-</w:t>
      </w:r>
      <w:r>
        <w:t>home assignments.  This course encourages students to “learn by doing” therefore active participation in all course activities is emphasized</w:t>
      </w:r>
      <w:r w:rsidR="000112E1">
        <w:t xml:space="preserve"> (synchronous or asynchronous)</w:t>
      </w:r>
      <w:r>
        <w:t xml:space="preserve">. </w:t>
      </w:r>
    </w:p>
    <w:p w:rsidR="00525EAC" w:rsidRDefault="00525EAC" w:rsidP="00525EAC">
      <w:pPr>
        <w:pStyle w:val="Heading2"/>
      </w:pPr>
      <w:r>
        <w:t>Communication with the Professor</w:t>
      </w:r>
    </w:p>
    <w:p w:rsidR="008C1A95" w:rsidRDefault="00525EAC" w:rsidP="00D35A14">
      <w:r>
        <w:t>Dr. Juando-Prats has overall responsibility for the course.  Office hours are b</w:t>
      </w:r>
      <w:r w:rsidR="00601614">
        <w:t>y appointment. E</w:t>
      </w:r>
      <w:r w:rsidR="0037381D">
        <w:t xml:space="preserve">mails will be responded </w:t>
      </w:r>
      <w:r w:rsidR="000112E1">
        <w:t xml:space="preserve">to </w:t>
      </w:r>
      <w:r w:rsidR="00A34348">
        <w:t>as soon as possible</w:t>
      </w:r>
      <w:r w:rsidR="0037381D">
        <w:t xml:space="preserve"> (Monday to Friday)</w:t>
      </w:r>
      <w:r>
        <w:t>. Students are also encouraged to post questions</w:t>
      </w:r>
      <w:r w:rsidR="00A96483">
        <w:t xml:space="preserve"> and participate in discussions</w:t>
      </w:r>
      <w:r>
        <w:t xml:space="preserve"> on Quercus.</w:t>
      </w:r>
    </w:p>
    <w:p w:rsidR="00800AB6" w:rsidRDefault="00800AB6" w:rsidP="00800AB6">
      <w:pPr>
        <w:pStyle w:val="Heading2"/>
      </w:pPr>
      <w:r>
        <w:t>Submission of Assignments</w:t>
      </w:r>
    </w:p>
    <w:p w:rsidR="008C1A95" w:rsidRDefault="008C1A95" w:rsidP="008C1A95">
      <w:r w:rsidRPr="000112E1">
        <w:rPr>
          <w:i/>
          <w:iCs/>
          <w:u w:val="single"/>
        </w:rPr>
        <w:t xml:space="preserve">Format of written assignments: </w:t>
      </w:r>
      <w:r w:rsidRPr="000112E1">
        <w:rPr>
          <w:u w:val="single"/>
        </w:rPr>
        <w:t>All written assignments must be submitted electronically on Quercus. Assignments must be double spaced, with one-inch margins, in 12 point font, Time New Roman, and saved as a Word document</w:t>
      </w:r>
      <w:r w:rsidR="000E37C2">
        <w:rPr>
          <w:u w:val="single"/>
        </w:rPr>
        <w:t xml:space="preserve"> (</w:t>
      </w:r>
      <w:r w:rsidR="000E37C2" w:rsidRPr="000E37C2">
        <w:rPr>
          <w:b/>
          <w:u w:val="single"/>
        </w:rPr>
        <w:t>do not submit pdf files</w:t>
      </w:r>
      <w:r w:rsidR="000E37C2">
        <w:rPr>
          <w:u w:val="single"/>
        </w:rPr>
        <w:t>)</w:t>
      </w:r>
      <w:r w:rsidRPr="000112E1">
        <w:rPr>
          <w:u w:val="single"/>
        </w:rPr>
        <w:t>. Please number pages. Your name should be in the document header and part of the electronic filename</w:t>
      </w:r>
      <w:r>
        <w:t xml:space="preserve">. </w:t>
      </w:r>
    </w:p>
    <w:p w:rsidR="00D35A14" w:rsidRDefault="00800AB6" w:rsidP="00E240E8">
      <w:pPr>
        <w:rPr>
          <w:rStyle w:val="Strong"/>
          <w:b w:val="0"/>
          <w:color w:val="000000"/>
        </w:rPr>
      </w:pPr>
      <w:r>
        <w:t>All assignments are to be submitted electronically on Quercus (</w:t>
      </w:r>
      <w:hyperlink r:id="rId10" w:history="1">
        <w:r w:rsidRPr="00447C8F">
          <w:rPr>
            <w:rStyle w:val="Hyperlink"/>
          </w:rPr>
          <w:t>https://q.utoronto.ca/courses/46670/pages/student-quercus-guide</w:t>
        </w:r>
      </w:hyperlink>
      <w:r w:rsidR="008C1A95">
        <w:t xml:space="preserve">). Your assignment </w:t>
      </w:r>
      <w:r>
        <w:t>will not be evaluated until it is submitted to the Assignments page on Quercus</w:t>
      </w:r>
      <w:r w:rsidR="000E37C2">
        <w:t>—unless approval from the instructor under specific circumstances</w:t>
      </w:r>
      <w:r>
        <w:t>.</w:t>
      </w:r>
      <w:r w:rsidR="00D35A14">
        <w:t xml:space="preserve"> The Assignments webpage will remain open be</w:t>
      </w:r>
      <w:r w:rsidR="00E240E8">
        <w:t xml:space="preserve">yond the due date. Turnitin is </w:t>
      </w:r>
      <w:r w:rsidR="00D35A14">
        <w:t>used in this course</w:t>
      </w:r>
      <w:r w:rsidR="008C1A95">
        <w:t xml:space="preserve"> when submitting written</w:t>
      </w:r>
      <w:r w:rsidR="00D35A14">
        <w:t xml:space="preserve"> course essays for a review of textual similarity and detection of possible plagiarism. In doing so, students will allow </w:t>
      </w:r>
      <w:r w:rsidR="00D35A14" w:rsidRPr="000C2A34">
        <w:rPr>
          <w:rStyle w:val="Strong"/>
          <w:b w:val="0"/>
          <w:color w:val="000000"/>
        </w:rPr>
        <w:t xml:space="preserve">their assignments to be included as source documents in the Turnitin.com reference database, where they will be used solely for the purpose of detecting plagiarism. The terms that apply to the University's use of the Turnitin.com service are described </w:t>
      </w:r>
      <w:r w:rsidR="008C1A95">
        <w:rPr>
          <w:rStyle w:val="Strong"/>
          <w:b w:val="0"/>
          <w:color w:val="000000"/>
        </w:rPr>
        <w:t xml:space="preserve">here </w:t>
      </w:r>
      <w:hyperlink r:id="rId11" w:history="1">
        <w:r w:rsidR="008C1A95">
          <w:rPr>
            <w:rStyle w:val="Hyperlink"/>
          </w:rPr>
          <w:t>https://teaching.utoronto.ca/ed-tech/teaching-technology/turnitin/</w:t>
        </w:r>
      </w:hyperlink>
      <w:r w:rsidR="00D35A14" w:rsidRPr="000C2A34">
        <w:rPr>
          <w:rStyle w:val="Strong"/>
          <w:b w:val="0"/>
          <w:color w:val="000000"/>
        </w:rPr>
        <w:t>.</w:t>
      </w:r>
    </w:p>
    <w:p w:rsidR="008C1A95" w:rsidRDefault="008C1A95" w:rsidP="008C1A95">
      <w:r w:rsidRPr="00915DE0">
        <w:rPr>
          <w:i/>
          <w:iCs/>
          <w:u w:val="single"/>
        </w:rPr>
        <w:t>Note</w:t>
      </w:r>
      <w:r>
        <w:rPr>
          <w:i/>
          <w:iCs/>
        </w:rPr>
        <w:t>:</w:t>
      </w:r>
      <w:r>
        <w:t xml:space="preserve"> Because of university ethics requirements, the work you do for this course may not be part of a research study that will be published in any form.  It is expected that you would not draw on this material as part of a thesis or dissertation project, or for a paper for any other course unless permission was sought and attained, and any appropriate ethical requirements met. </w:t>
      </w:r>
    </w:p>
    <w:p w:rsidR="008C1A95" w:rsidRDefault="008C1A95" w:rsidP="008C1A95">
      <w:r>
        <w:t xml:space="preserve">Assessment and grading practices follow the principles and key elements as stated  </w:t>
      </w:r>
    </w:p>
    <w:p w:rsidR="008C1A95" w:rsidRDefault="008C1A95" w:rsidP="008C1A95">
      <w:pPr>
        <w:ind w:left="720"/>
      </w:pPr>
      <w:r>
        <w:t>•</w:t>
      </w:r>
      <w:r>
        <w:rPr>
          <w:rFonts w:ascii="Arial" w:hAnsi="Arial" w:cs="Arial"/>
        </w:rPr>
        <w:t xml:space="preserve"> </w:t>
      </w:r>
      <w:r>
        <w:t xml:space="preserve">by the University of Toronto’s  Assessment and Grading Practices Policy </w:t>
      </w:r>
      <w:hyperlink r:id="rId12" w:history="1">
        <w:r>
          <w:rPr>
            <w:color w:val="0000FF"/>
          </w:rPr>
          <w:t>http://www.governingcouncil.utoronto.ca/Assets/Governing+Council+Digital+Assets/Policies/PDF/grading.pdf</w:t>
        </w:r>
      </w:hyperlink>
      <w:r>
        <w:t xml:space="preserve"> </w:t>
      </w:r>
    </w:p>
    <w:p w:rsidR="008C1A95" w:rsidRDefault="008C1A95" w:rsidP="008C1A95">
      <w:pPr>
        <w:ind w:left="720"/>
      </w:pPr>
      <w:r>
        <w:t>•</w:t>
      </w:r>
      <w:r>
        <w:rPr>
          <w:rFonts w:ascii="Arial" w:hAnsi="Arial" w:cs="Arial"/>
        </w:rPr>
        <w:t xml:space="preserve"> </w:t>
      </w:r>
      <w:r>
        <w:t xml:space="preserve">by the rules and regulations as stated by the University of Toronto School of Graduate Studies </w:t>
      </w:r>
      <w:hyperlink r:id="rId13" w:history="1">
        <w:r>
          <w:rPr>
            <w:color w:val="0000FF"/>
          </w:rPr>
          <w:t>https://www.sgs.utoronto.ca/facultyandstaff/Pages/Policies-and-Guidelines.aspx</w:t>
        </w:r>
      </w:hyperlink>
      <w:r>
        <w:t xml:space="preserve">  </w:t>
      </w:r>
    </w:p>
    <w:p w:rsidR="008C1A95" w:rsidRDefault="008C1A95" w:rsidP="008C1A95">
      <w:pPr>
        <w:ind w:left="720"/>
      </w:pPr>
      <w:r>
        <w:t>•</w:t>
      </w:r>
      <w:r>
        <w:rPr>
          <w:rFonts w:ascii="Arial" w:hAnsi="Arial" w:cs="Arial"/>
        </w:rPr>
        <w:t xml:space="preserve"> </w:t>
      </w:r>
      <w:r>
        <w:t xml:space="preserve">and by the policies set out by the University of Toronto Office of the Governing Council </w:t>
      </w:r>
      <w:hyperlink r:id="rId14" w:history="1">
        <w:r>
          <w:rPr>
            <w:color w:val="0000FF"/>
          </w:rPr>
          <w:t>http://www.governingcouncil.utoronto.ca/policies.htm</w:t>
        </w:r>
      </w:hyperlink>
      <w:r>
        <w:t xml:space="preserve">  </w:t>
      </w:r>
    </w:p>
    <w:p w:rsidR="00800AB6" w:rsidRDefault="00D35A14" w:rsidP="00D35A14">
      <w:pPr>
        <w:pStyle w:val="Heading2"/>
      </w:pPr>
      <w:r>
        <w:t>Late Assignments</w:t>
      </w:r>
    </w:p>
    <w:p w:rsidR="008C1A95" w:rsidRDefault="008C1A95" w:rsidP="008C1A95">
      <w:r>
        <w:t xml:space="preserve">Specified due dates must be adhered to unless prior permission—extension—has been sought and granted on medical or other compelling grounds (in which case a new due date will be specified by the professor). Penalties will be incurred for late assignments (5% per day of lateness reduction in mark) unless the </w:t>
      </w:r>
      <w:r>
        <w:lastRenderedPageBreak/>
        <w:t>student has been given an extension in writing</w:t>
      </w:r>
      <w:r w:rsidR="000E37C2">
        <w:t xml:space="preserve"> (email)</w:t>
      </w:r>
      <w:r>
        <w:t xml:space="preserve">. Students should make every effort to discuss anticipated late papers with the professor in advance of due dates. </w:t>
      </w:r>
    </w:p>
    <w:p w:rsidR="008C1A95" w:rsidRDefault="00E240E8" w:rsidP="00980713">
      <w:pPr>
        <w:rPr>
          <w:color w:val="0000FF"/>
        </w:rPr>
      </w:pPr>
      <w:r w:rsidRPr="008C1A95">
        <w:t xml:space="preserve">Late assignments owing to illness or injury: The only medical documentation acceptable at the University of Toronto is the University's “Verification of Illness or Injury” Form, which </w:t>
      </w:r>
      <w:r w:rsidR="008C1A95">
        <w:t>can</w:t>
      </w:r>
      <w:r w:rsidRPr="008C1A95">
        <w:t xml:space="preserve"> only be completed by </w:t>
      </w:r>
      <w:r w:rsidR="008C1A95">
        <w:t xml:space="preserve">a registered practitioner (see </w:t>
      </w:r>
      <w:hyperlink r:id="rId15" w:history="1">
        <w:r w:rsidR="008C1A95">
          <w:rPr>
            <w:color w:val="0000FF"/>
          </w:rPr>
          <w:t>http://www.illnessverification.utoronto.ca/Frequently-Asked-Questions.htm</w:t>
        </w:r>
      </w:hyperlink>
      <w:r w:rsidR="008C1A95">
        <w:rPr>
          <w:color w:val="0000FF"/>
        </w:rPr>
        <w:t>)</w:t>
      </w:r>
      <w:r w:rsidRPr="008C1A95">
        <w:t xml:space="preserve">. </w:t>
      </w:r>
      <w:r w:rsidR="008C1A95">
        <w:t>Find the for at</w:t>
      </w:r>
      <w:r w:rsidRPr="008C1A95">
        <w:t xml:space="preserve"> </w:t>
      </w:r>
      <w:hyperlink r:id="rId16" w:history="1">
        <w:r w:rsidR="008C1A95" w:rsidRPr="008B427D">
          <w:rPr>
            <w:rStyle w:val="Hyperlink"/>
          </w:rPr>
          <w:t>illnessverification</w:t>
        </w:r>
        <w:r w:rsidR="000E37C2">
          <w:rPr>
            <w:rStyle w:val="Hyperlink"/>
          </w:rPr>
          <w:t>.</w:t>
        </w:r>
        <w:r w:rsidR="008C1A95" w:rsidRPr="008B427D">
          <w:rPr>
            <w:rStyle w:val="Hyperlink"/>
          </w:rPr>
          <w:t>utoronto.ca/</w:t>
        </w:r>
      </w:hyperlink>
      <w:r w:rsidR="008C1A95">
        <w:rPr>
          <w:color w:val="0000FF"/>
        </w:rPr>
        <w:t xml:space="preserve"> </w:t>
      </w:r>
    </w:p>
    <w:p w:rsidR="00980713" w:rsidRDefault="00980713" w:rsidP="00980713">
      <w:r>
        <w:t xml:space="preserve">If illness or injury is being presented as the reason for the request for an exception or an accommodation, the claim of illness or injury itself is not necessarily sufficient grounds to guarantee approval of the request. All cases are examined in their entirety before a decision is made: an illness or injury’s duration and resulting incapacitation are taken into account along with other relevant factors in the context of the course at issue. Note that the medical practitioner’s report must establish that the patient was examined and diagnosed at the time of illness, not after the fact. The Faculty will not accept a statement that merely confirms a later report of illness made </w:t>
      </w:r>
      <w:r w:rsidR="008C1A95">
        <w:t xml:space="preserve">by the student to a physician. </w:t>
      </w:r>
    </w:p>
    <w:p w:rsidR="00980713" w:rsidRDefault="00980713" w:rsidP="00980713">
      <w:r>
        <w:t xml:space="preserve">If the reason for the request for an exception or an accommodation is non-injury or illness related, the documentation acceptable include a letter from your Graduate Faculty or Supervisor (appropriate in certain circumstances); a letter from Accessibility Services (required for accessibility-related petitions); or in some situations, other non-medical supporting documentation may be relevant.  </w:t>
      </w:r>
    </w:p>
    <w:p w:rsidR="00800AB6" w:rsidRDefault="00980713" w:rsidP="000E37C2">
      <w:pPr>
        <w:pStyle w:val="Heading2"/>
      </w:pPr>
      <w:r>
        <w:t>Statement on Academic Integrity</w:t>
      </w:r>
    </w:p>
    <w:p w:rsidR="00980713" w:rsidRPr="008C1A95" w:rsidRDefault="00D14BE6" w:rsidP="008C1A95">
      <w:r>
        <w:t>Plagiarism is a serious academic offence. Please review the University policies about plagiarism and visit</w:t>
      </w:r>
      <w:r w:rsidRPr="00D14BE6">
        <w:t xml:space="preserve"> </w:t>
      </w:r>
      <w:hyperlink r:id="rId17" w:history="1">
        <w:r w:rsidR="008C1A95" w:rsidRPr="008C1A95">
          <w:t>https://www.academicintegrity.utoronto.ca/</w:t>
        </w:r>
      </w:hyperlink>
    </w:p>
    <w:p w:rsidR="008C1A95" w:rsidRPr="008C1A95" w:rsidRDefault="00D14BE6" w:rsidP="008C1A95">
      <w:r w:rsidRPr="008C1A95">
        <w:t xml:space="preserve">An excellent document on </w:t>
      </w:r>
      <w:hyperlink r:id="rId18" w:history="1">
        <w:r w:rsidRPr="008C1A95">
          <w:t>How Not to Plagiarize</w:t>
        </w:r>
      </w:hyperlink>
      <w:r w:rsidRPr="008C1A95">
        <w:t xml:space="preserve"> is also listed on this website. Review other academic offences in the Code of Behaviour on Academic Matters: </w:t>
      </w:r>
      <w:hyperlink r:id="rId19" w:history="1">
        <w:r w:rsidR="008C1A95">
          <w:rPr>
            <w:rStyle w:val="Hyperlink"/>
          </w:rPr>
          <w:t>https://governingcouncil.utoronto.ca/secretariat/policies/code-behaviour-academic-matters-july-1-2019</w:t>
        </w:r>
      </w:hyperlink>
      <w:hyperlink r:id="rId20" w:history="1"/>
    </w:p>
    <w:p w:rsidR="000E37C2" w:rsidRDefault="000E37C2" w:rsidP="008C1A95">
      <w:r>
        <w:t xml:space="preserve">UofT has developed an academic integrity campaign to support students and raise awareness about this in the new online learning environment, </w:t>
      </w:r>
      <w:r w:rsidR="00A37473">
        <w:t>e</w:t>
      </w:r>
      <w:r>
        <w:t xml:space="preserve">specially during the COVID-19 pandemic. Please check </w:t>
      </w:r>
      <w:hyperlink r:id="rId21" w:history="1">
        <w:r w:rsidRPr="00347310">
          <w:rPr>
            <w:rStyle w:val="Hyperlink"/>
          </w:rPr>
          <w:t>www.academicintegrity.utoronto.ca</w:t>
        </w:r>
      </w:hyperlink>
      <w:r>
        <w:t xml:space="preserve"> or the document uploaded in Quercus, in case of doubt contact the professor and/or your TA for help.</w:t>
      </w:r>
    </w:p>
    <w:p w:rsidR="00D14BE6" w:rsidRPr="008C1A95" w:rsidRDefault="00D14BE6" w:rsidP="008C1A95">
      <w:r w:rsidRPr="008C1A95">
        <w:t xml:space="preserve">The Code of Behavior on Academic Matters (University of Toronto Governing Council, </w:t>
      </w:r>
      <w:r w:rsidR="008C1A95">
        <w:t>2019</w:t>
      </w:r>
      <w:r w:rsidRPr="008C1A95">
        <w:t xml:space="preserve">) reads: </w:t>
      </w:r>
    </w:p>
    <w:p w:rsidR="00D14BE6" w:rsidRPr="008C1A95" w:rsidRDefault="00D14BE6" w:rsidP="008C1A95">
      <w:pPr>
        <w:spacing w:line="360" w:lineRule="auto"/>
        <w:ind w:firstLine="720"/>
        <w:rPr>
          <w:rFonts w:cs="Times New Roman"/>
        </w:rPr>
      </w:pPr>
      <w:r w:rsidRPr="008C1A95">
        <w:rPr>
          <w:rFonts w:cs="Times New Roman"/>
        </w:rPr>
        <w:t xml:space="preserve">It shall be an offence for a student knowingly:  </w:t>
      </w:r>
    </w:p>
    <w:p w:rsidR="00D14BE6" w:rsidRPr="00D14BE6" w:rsidRDefault="00D14BE6" w:rsidP="00D14BE6">
      <w:pPr>
        <w:ind w:firstLine="720"/>
        <w:rPr>
          <w:i/>
        </w:rPr>
      </w:pPr>
      <w:r>
        <w:t>•</w:t>
      </w:r>
      <w:r>
        <w:rPr>
          <w:rFonts w:ascii="Arial" w:hAnsi="Arial" w:cs="Arial"/>
        </w:rPr>
        <w:t xml:space="preserve"> </w:t>
      </w:r>
      <w:r w:rsidRPr="00D14BE6">
        <w:rPr>
          <w:i/>
        </w:rPr>
        <w:t xml:space="preserve">to represent as one's own any idea or expression of an idea or work of another in any academic examination or term test or in connection with any other form of academic work, i.e. to commit plagiarism;  </w:t>
      </w:r>
    </w:p>
    <w:p w:rsidR="00D14BE6" w:rsidRPr="00D14BE6" w:rsidRDefault="00D14BE6" w:rsidP="00D14BE6">
      <w:pPr>
        <w:ind w:firstLine="720"/>
        <w:rPr>
          <w:i/>
        </w:rPr>
      </w:pPr>
      <w:r w:rsidRPr="00D14BE6">
        <w:rPr>
          <w:i/>
        </w:rPr>
        <w:t>•</w:t>
      </w:r>
      <w:r w:rsidRPr="00D14BE6">
        <w:rPr>
          <w:rFonts w:ascii="Arial" w:hAnsi="Arial" w:cs="Arial"/>
          <w:i/>
        </w:rPr>
        <w:t xml:space="preserve"> </w:t>
      </w:r>
      <w:r w:rsidRPr="00D14BE6">
        <w:rPr>
          <w:i/>
        </w:rPr>
        <w:t xml:space="preserve">to submit, without the knowledge and approval of the Professor to whom it is submitted, any academic work for which credit has previously been obtained or is being sought in another course or program of study in the University or elsewhere;  </w:t>
      </w:r>
    </w:p>
    <w:p w:rsidR="00D14BE6" w:rsidRPr="00D14BE6" w:rsidRDefault="00D14BE6" w:rsidP="00D14BE6">
      <w:pPr>
        <w:ind w:firstLine="720"/>
        <w:rPr>
          <w:i/>
        </w:rPr>
      </w:pPr>
      <w:r w:rsidRPr="00D14BE6">
        <w:rPr>
          <w:i/>
        </w:rPr>
        <w:lastRenderedPageBreak/>
        <w:t>•</w:t>
      </w:r>
      <w:r w:rsidRPr="00D14BE6">
        <w:rPr>
          <w:rFonts w:ascii="Arial" w:hAnsi="Arial" w:cs="Arial"/>
          <w:i/>
        </w:rPr>
        <w:t xml:space="preserve"> </w:t>
      </w:r>
      <w:r w:rsidRPr="00D14BE6">
        <w:rPr>
          <w:i/>
        </w:rPr>
        <w:t xml:space="preserve">to submit any academic work containing a purported statement of fact or reference to a source which has been concocted. (B.1.d-f) </w:t>
      </w:r>
    </w:p>
    <w:p w:rsidR="00D14BE6" w:rsidRDefault="00D14BE6" w:rsidP="00D14BE6">
      <w:r>
        <w:t xml:space="preserve">The University of Toronto treats cases of academic misconduct very seriously. Academic integrity is a fundamental value of learning and scholarship at the UofT. Participating honestly, respectfully, responsibly, and fairly in this academic community ensures that your UofT degree is valued and respected as a true signifier of your individual academic achievement. </w:t>
      </w:r>
    </w:p>
    <w:p w:rsidR="00D14BE6" w:rsidRPr="00980713" w:rsidRDefault="00D14BE6" w:rsidP="00D14BE6">
      <w:r>
        <w:t>The University of Toronto’s Code of Behaviour on Academic Matters outlines the behaviours that constitute academic misconduct, the processes for addressing academic offences, and the penalties that may be imposed. You are expected to be familiar with the contents of this document. Potential offences include, but are not limited to:</w:t>
      </w:r>
    </w:p>
    <w:p w:rsidR="00D14BE6" w:rsidRDefault="00D14BE6" w:rsidP="00D14BE6">
      <w:pPr>
        <w:spacing w:line="240" w:lineRule="auto"/>
        <w:ind w:left="720"/>
      </w:pPr>
      <w:r>
        <w:t xml:space="preserve">In papers and assignments: </w:t>
      </w:r>
    </w:p>
    <w:p w:rsidR="00D14BE6" w:rsidRDefault="00D14BE6" w:rsidP="00D14BE6">
      <w:pPr>
        <w:spacing w:line="240" w:lineRule="auto"/>
        <w:ind w:left="720"/>
      </w:pPr>
      <w:r>
        <w:t>•</w:t>
      </w:r>
      <w:r>
        <w:rPr>
          <w:rFonts w:ascii="Arial" w:hAnsi="Arial" w:cs="Arial"/>
        </w:rPr>
        <w:t xml:space="preserve"> </w:t>
      </w:r>
      <w:r>
        <w:t xml:space="preserve">Using someone else’s ideas or words without appropriate acknowledgment </w:t>
      </w:r>
    </w:p>
    <w:p w:rsidR="00D14BE6" w:rsidRDefault="00D14BE6" w:rsidP="00D14BE6">
      <w:pPr>
        <w:spacing w:line="240" w:lineRule="auto"/>
        <w:ind w:left="720"/>
      </w:pPr>
      <w:r>
        <w:t>•</w:t>
      </w:r>
      <w:r>
        <w:rPr>
          <w:rFonts w:ascii="Arial" w:hAnsi="Arial" w:cs="Arial"/>
        </w:rPr>
        <w:t xml:space="preserve"> </w:t>
      </w:r>
      <w:r>
        <w:t xml:space="preserve">Submitting your own work in more than one course </w:t>
      </w:r>
    </w:p>
    <w:p w:rsidR="00D14BE6" w:rsidRDefault="00D14BE6" w:rsidP="00D14BE6">
      <w:pPr>
        <w:spacing w:line="240" w:lineRule="auto"/>
        <w:ind w:left="720"/>
      </w:pPr>
      <w:r>
        <w:t>•</w:t>
      </w:r>
      <w:r>
        <w:rPr>
          <w:rFonts w:ascii="Arial" w:hAnsi="Arial" w:cs="Arial"/>
        </w:rPr>
        <w:t xml:space="preserve"> </w:t>
      </w:r>
      <w:r>
        <w:t xml:space="preserve">Making up sources or facts </w:t>
      </w:r>
    </w:p>
    <w:p w:rsidR="00D14BE6" w:rsidRDefault="00D14BE6" w:rsidP="00D14BE6">
      <w:pPr>
        <w:spacing w:line="240" w:lineRule="auto"/>
        <w:ind w:left="720"/>
      </w:pPr>
      <w:r>
        <w:t>•</w:t>
      </w:r>
      <w:r>
        <w:rPr>
          <w:rFonts w:ascii="Arial" w:hAnsi="Arial" w:cs="Arial"/>
        </w:rPr>
        <w:t xml:space="preserve"> </w:t>
      </w:r>
      <w:r>
        <w:t xml:space="preserve">Obtaining or providing unauthorized assistance on any assignment (this includes working in groups on assignments that are supposed to be individual work) </w:t>
      </w:r>
    </w:p>
    <w:p w:rsidR="00D14BE6" w:rsidRDefault="00D14BE6" w:rsidP="00D14BE6">
      <w:r w:rsidRPr="00C61CBE">
        <w:t>Students in graduate studies are expected to commit to the highest standards of integrity and to understand the importance of protecting and acknowledging intellectual property.  It is assumed that they bring to their graduate studies a clear understanding of how to cite references appropriately</w:t>
      </w:r>
      <w:r w:rsidR="000E37C2">
        <w:t xml:space="preserve">, thereby avoiding plagiarism. </w:t>
      </w:r>
      <w:r>
        <w:t xml:space="preserve">Any instance of suspected academic dishonesty will </w:t>
      </w:r>
      <w:r w:rsidR="008C1A95">
        <w:t>follow the procedures specified in the aforementioned Academic Code of Behavior on Academic Matters.</w:t>
      </w:r>
    </w:p>
    <w:p w:rsidR="00800AB6" w:rsidRDefault="00800AB6" w:rsidP="00E34968">
      <w:pPr>
        <w:spacing w:before="120" w:after="120" w:line="360" w:lineRule="auto"/>
      </w:pPr>
    </w:p>
    <w:p w:rsidR="00800AB6" w:rsidRDefault="009B7B2D" w:rsidP="009B7B2D">
      <w:pPr>
        <w:pStyle w:val="Heading2"/>
      </w:pPr>
      <w:r>
        <w:t xml:space="preserve">Accommodations for </w:t>
      </w:r>
      <w:r w:rsidR="0035233F">
        <w:t>S</w:t>
      </w:r>
      <w:r>
        <w:t>tudents with Disabilities or Medical Conditions</w:t>
      </w:r>
    </w:p>
    <w:p w:rsidR="00CA491B" w:rsidRDefault="00CA491B" w:rsidP="00CA491B">
      <w:r>
        <w:t xml:space="preserve">Students with diverse learning styles and needs are welcome in this course. In particular, if you have a disability/health/learning consideration that may require accommodations, please feel free to approach the Professor and/or Accessibility Services at (416) 978 8060 and visit </w:t>
      </w:r>
      <w:hyperlink r:id="rId22" w:history="1">
        <w:r>
          <w:rPr>
            <w:rStyle w:val="Hyperlink"/>
          </w:rPr>
          <w:t>http://aoda.hrandequity.utoronto.ca/</w:t>
        </w:r>
      </w:hyperlink>
      <w:r>
        <w:t>.</w:t>
      </w:r>
    </w:p>
    <w:p w:rsidR="00CA491B" w:rsidRDefault="009B7B2D" w:rsidP="00CA491B">
      <w:r>
        <w:t xml:space="preserve">If you need or desire an accommodation for a disability or medical condition, please inform the Professor and TAs early in the course, so we are able to proactively modify the way the course is taught to facilitate participation and/or use resources available to us, such as Services for Students with Disabilities and Adaptive Technology to facilitate learning.  If assistance is required, we will treat that information as private and confidential. </w:t>
      </w:r>
    </w:p>
    <w:p w:rsidR="000E37C2" w:rsidRDefault="000E37C2" w:rsidP="00CA491B">
      <w:r>
        <w:t>If you are in a different time zone, or have technological or connection difficulties to follow/access the course, please contact the professor to arrange accommodations.</w:t>
      </w:r>
    </w:p>
    <w:p w:rsidR="009B7B2D" w:rsidRPr="009B7B2D" w:rsidRDefault="009B7B2D" w:rsidP="009B7B2D">
      <w:pPr>
        <w:pStyle w:val="Heading2"/>
      </w:pPr>
      <w:r>
        <w:lastRenderedPageBreak/>
        <w:t>Religious Observances</w:t>
      </w:r>
    </w:p>
    <w:p w:rsidR="009B7B2D" w:rsidRDefault="009B7B2D" w:rsidP="009B7B2D">
      <w:r>
        <w:t xml:space="preserve">Please notify the Professor if religious observances conflict with class attendance or due dates for assignments so we can make appropriate arrangements for alternate scheduling of evaluations or make up of missed work. </w:t>
      </w:r>
    </w:p>
    <w:p w:rsidR="00E34968" w:rsidRDefault="009B7B2D" w:rsidP="009B7B2D">
      <w:pPr>
        <w:pStyle w:val="Heading2"/>
      </w:pPr>
      <w:r>
        <w:t>Absence Due to Illness</w:t>
      </w:r>
    </w:p>
    <w:p w:rsidR="009B7B2D" w:rsidRDefault="009B7B2D" w:rsidP="009B7B2D">
      <w:r>
        <w:t xml:space="preserve">If </w:t>
      </w:r>
      <w:r w:rsidR="0035233F">
        <w:t xml:space="preserve">an </w:t>
      </w:r>
      <w:r>
        <w:t>illness i</w:t>
      </w:r>
      <w:r w:rsidR="00CA491B">
        <w:t>s likely to interfere with m</w:t>
      </w:r>
      <w:r>
        <w:t>eeting a due date for an assignment or other requirements, you should have your physician or health care provider complete a Verification of Student Illness or Injury Form (</w:t>
      </w:r>
      <w:hyperlink r:id="rId23" w:history="1">
        <w:r>
          <w:rPr>
            <w:color w:val="0000FF"/>
          </w:rPr>
          <w:t>http://www.illnessverification.utoronto.ca/index.php</w:t>
        </w:r>
      </w:hyperlink>
      <w:r>
        <w:t>) at the time of your illness a</w:t>
      </w:r>
      <w:r w:rsidR="00CA491B">
        <w:t xml:space="preserve">nd submit it to the Professor. </w:t>
      </w:r>
    </w:p>
    <w:p w:rsidR="009B7B2D" w:rsidRDefault="009B7B2D" w:rsidP="009B7B2D">
      <w:pPr>
        <w:pStyle w:val="Heading2"/>
      </w:pPr>
      <w:r>
        <w:t>Course Resiliency</w:t>
      </w:r>
    </w:p>
    <w:p w:rsidR="009B7B2D" w:rsidRDefault="009B7B2D" w:rsidP="009B7B2D">
      <w:r>
        <w:t xml:space="preserve">The University’s Policy on Academic Continuity (January 26, 2012) states that the “University of Toronto is committed to fulfilling its core academic mission of educating students. It recognizes that events such as pandemic health emergencies, natural disasters, prolonged service interruptions, and ongoing labour disputes are potential threats to academic continuity. Good stewardship requires that the University undertake appropriate planning and preparation to promote continuity.” </w:t>
      </w:r>
      <w:r w:rsidR="00065D9D">
        <w:t xml:space="preserve">Concerning COVID-19, find resources and updates for the U of T community at </w:t>
      </w:r>
      <w:hyperlink r:id="rId24" w:history="1">
        <w:r w:rsidR="00065D9D">
          <w:rPr>
            <w:rStyle w:val="Hyperlink"/>
          </w:rPr>
          <w:t>https://www.utoronto.ca/message-from-the-university-regarding-the-coronavirus</w:t>
        </w:r>
      </w:hyperlink>
    </w:p>
    <w:p w:rsidR="009B7B2D" w:rsidRDefault="009B7B2D" w:rsidP="009B7B2D">
      <w:r>
        <w:t xml:space="preserve">In keeping with </w:t>
      </w:r>
      <w:r w:rsidR="0035233F">
        <w:t xml:space="preserve">the </w:t>
      </w:r>
      <w:r>
        <w:t xml:space="preserve">University of Toronto policies governing grading practices, course evaluation methods can be changed under the </w:t>
      </w:r>
      <w:r>
        <w:rPr>
          <w:i/>
          <w:iCs/>
        </w:rPr>
        <w:t>Grading Practices Policies</w:t>
      </w:r>
      <w:r>
        <w:t xml:space="preserve"> with the consent of at least a simple majority of the students enrolled in the course. If a decision is made to change the evaluation methods or their relative weights, then the consent of students may be obtained by a vote taken in class or through </w:t>
      </w:r>
      <w:r w:rsidR="00CA491B">
        <w:t>Quercus or other virtual means</w:t>
      </w:r>
      <w:r>
        <w:t xml:space="preserve">. See: </w:t>
      </w:r>
      <w:hyperlink r:id="rId25" w:history="1">
        <w:r>
          <w:rPr>
            <w:color w:val="0000FF"/>
          </w:rPr>
          <w:t>http://www.governingcouncil.utoronto.ca/Assets/Governing+Council+Digital+Assets/Policies/PDF/grading.pdf</w:t>
        </w:r>
      </w:hyperlink>
    </w:p>
    <w:p w:rsidR="009B7B2D" w:rsidRDefault="009B7B2D" w:rsidP="009B7B2D">
      <w:pPr>
        <w:pStyle w:val="Heading2"/>
      </w:pPr>
      <w:r>
        <w:t>Recording Lectures and Class Notes</w:t>
      </w:r>
    </w:p>
    <w:p w:rsidR="004955DF" w:rsidRDefault="00FD7D65" w:rsidP="004955DF">
      <w:r>
        <w:t>Lectures will be video-</w:t>
      </w:r>
      <w:r w:rsidR="004B7988">
        <w:t xml:space="preserve">recorded live and posted on Quercus 24h after. </w:t>
      </w:r>
      <w:r w:rsidR="009B7B2D">
        <w:t xml:space="preserve">Students are permitted to </w:t>
      </w:r>
      <w:r w:rsidR="004955DF">
        <w:t>audio-</w:t>
      </w:r>
      <w:r w:rsidR="009B7B2D">
        <w:t>record lectures as a form of note-taking for personal use</w:t>
      </w:r>
      <w:r w:rsidR="004955DF">
        <w:t xml:space="preserve"> (no</w:t>
      </w:r>
      <w:r>
        <w:t>t</w:t>
      </w:r>
      <w:r w:rsidR="004955DF">
        <w:t xml:space="preserve"> video-recording)</w:t>
      </w:r>
      <w:r w:rsidR="009B7B2D">
        <w:t xml:space="preserve">. Students are instructed to not upload the recordings </w:t>
      </w:r>
      <w:r>
        <w:t xml:space="preserve">(or any fragment) </w:t>
      </w:r>
      <w:r w:rsidR="009B7B2D">
        <w:t>to a shared drive or folder or hosted on a video service</w:t>
      </w:r>
      <w:r>
        <w:t>/social media</w:t>
      </w:r>
      <w:r w:rsidR="009B7B2D">
        <w:t xml:space="preserve"> platform such a YouTube, SnapChat, </w:t>
      </w:r>
      <w:r>
        <w:t xml:space="preserve">Instagram, </w:t>
      </w:r>
      <w:r w:rsidR="009B7B2D">
        <w:t>Facebook messenger</w:t>
      </w:r>
      <w:r w:rsidR="00EE0FE1">
        <w:t xml:space="preserve">, or </w:t>
      </w:r>
      <w:r w:rsidR="004B7988">
        <w:t xml:space="preserve">any </w:t>
      </w:r>
      <w:r w:rsidR="00EE0FE1">
        <w:t>other</w:t>
      </w:r>
      <w:r w:rsidR="009B7B2D">
        <w:t>. Students are reminded that lectures are the intellectual property of the Professor, and the recordings should be respected thus.  Students are further reminded that the Academic Handbook states: “</w:t>
      </w:r>
      <w:r w:rsidR="009B7B2D" w:rsidRPr="00FD7D65">
        <w:rPr>
          <w:i/>
        </w:rPr>
        <w:t>It is absolutely forbidden for a student to publish a Professor’s notes to a websit</w:t>
      </w:r>
      <w:r w:rsidR="004B7988" w:rsidRPr="00FD7D65">
        <w:rPr>
          <w:i/>
        </w:rPr>
        <w:t>e or sell them</w:t>
      </w:r>
      <w:r w:rsidR="004B7988">
        <w:t xml:space="preserve">” (section 4.5). </w:t>
      </w:r>
    </w:p>
    <w:p w:rsidR="004955DF" w:rsidRDefault="004955DF" w:rsidP="004955DF">
      <w:r>
        <w:t>There may be guest lecturers in this course, and if the topics they cover include medical record/confidential/un-published information, recordings will not be permitted, and Chatham House Rules (</w:t>
      </w:r>
      <w:hyperlink r:id="rId26" w:history="1">
        <w:r w:rsidR="004B7988">
          <w:rPr>
            <w:rStyle w:val="Hyperlink"/>
          </w:rPr>
          <w:t>https://www.chathamhouse.org/chatham-house-rule</w:t>
        </w:r>
      </w:hyperlink>
      <w:r>
        <w:t xml:space="preserve">) will be in effect. Students will receive advance warning should recordings be prohibited from any lecture in this course. </w:t>
      </w:r>
    </w:p>
    <w:p w:rsidR="004955DF" w:rsidRDefault="004955DF" w:rsidP="004955DF">
      <w:r>
        <w:t xml:space="preserve">In addition to considerations of copyright and intellectual property, the need to protect the privacy of fellow students in the class is also essential.  In addition to general privacy protection, some students have very serious and genuine reasons for not wanting their presence in a particular class or at a particular </w:t>
      </w:r>
      <w:r>
        <w:lastRenderedPageBreak/>
        <w:t xml:space="preserve">institution to be public information and may be endangered by insufficient privacy protection when classes are audio or video recorded.  These considerations are guided both by university policy and the Ontario Freedom of Information and Protection of Privacy Act (FIPPA) regulations. </w:t>
      </w:r>
    </w:p>
    <w:p w:rsidR="004955DF" w:rsidRDefault="004955DF" w:rsidP="004955DF">
      <w:pPr>
        <w:pStyle w:val="Heading2"/>
      </w:pPr>
      <w:r>
        <w:t>Course Website</w:t>
      </w:r>
      <w:r w:rsidR="00222BEF">
        <w:t xml:space="preserve">—Quercus </w:t>
      </w:r>
    </w:p>
    <w:p w:rsidR="004955DF" w:rsidRPr="00EE0FE1" w:rsidRDefault="004955DF" w:rsidP="00222BEF">
      <w:r w:rsidRPr="00EE0FE1">
        <w:t>Course d</w:t>
      </w:r>
      <w:r w:rsidR="00222BEF">
        <w:t>escription, links to readings, videos, audio</w:t>
      </w:r>
      <w:r w:rsidR="006A12A6">
        <w:t xml:space="preserve"> </w:t>
      </w:r>
      <w:r w:rsidR="00222BEF">
        <w:t>files, class slides from lectures, further resources, and announcement</w:t>
      </w:r>
      <w:r w:rsidR="006A12A6">
        <w:t>s</w:t>
      </w:r>
      <w:r w:rsidRPr="00EE0FE1">
        <w:t xml:space="preserve"> will be posted on Quercus. </w:t>
      </w:r>
      <w:r w:rsidR="00222BEF">
        <w:t>Please check Quercus regularly a minimum of twice a week</w:t>
      </w:r>
      <w:r w:rsidR="006A12A6">
        <w:t xml:space="preserve"> not to miss updates and announcements.</w:t>
      </w:r>
    </w:p>
    <w:p w:rsidR="004955DF" w:rsidRDefault="00FB3643" w:rsidP="004955DF">
      <w:pPr>
        <w:pStyle w:val="Heading2"/>
      </w:pPr>
      <w:r>
        <w:t xml:space="preserve">Evaluation of Learning and </w:t>
      </w:r>
      <w:r w:rsidR="006A12A6">
        <w:t>Course</w:t>
      </w:r>
      <w:r w:rsidR="00F5072A">
        <w:t xml:space="preserve"> A</w:t>
      </w:r>
      <w:r w:rsidR="004955DF">
        <w:t>ssignments</w:t>
      </w:r>
      <w:r w:rsidR="00F5072A">
        <w:t xml:space="preserve"> </w:t>
      </w:r>
    </w:p>
    <w:p w:rsidR="00F5072A" w:rsidRPr="008F3019" w:rsidRDefault="00FB3643" w:rsidP="00F5072A">
      <w:pPr>
        <w:widowControl w:val="0"/>
      </w:pPr>
      <w:r>
        <w:t xml:space="preserve">The final grade for the course will be based </w:t>
      </w:r>
      <w:r w:rsidR="00584CF1">
        <w:t>on</w:t>
      </w:r>
      <w:r w:rsidR="00B87CC9">
        <w:t>: 1-2)</w:t>
      </w:r>
      <w:r w:rsidR="00584CF1">
        <w:t xml:space="preserve"> 2</w:t>
      </w:r>
      <w:r w:rsidRPr="004D521A">
        <w:t xml:space="preserve"> assignments</w:t>
      </w:r>
      <w:r w:rsidR="00584CF1">
        <w:t xml:space="preserve">, </w:t>
      </w:r>
      <w:r w:rsidR="00B87CC9">
        <w:t>3) leading one seminar</w:t>
      </w:r>
      <w:r w:rsidR="00584CF1">
        <w:t xml:space="preserve">, and </w:t>
      </w:r>
      <w:r w:rsidR="00B87CC9">
        <w:t xml:space="preserve">4) </w:t>
      </w:r>
      <w:r w:rsidR="00584CF1">
        <w:t>seminar’ part</w:t>
      </w:r>
      <w:r w:rsidR="00B87CC9">
        <w:t>i</w:t>
      </w:r>
      <w:r w:rsidR="00584CF1">
        <w:t>cipation</w:t>
      </w:r>
      <w:r>
        <w:t xml:space="preserve">. </w:t>
      </w:r>
      <w:r w:rsidR="00323AFD">
        <w:t xml:space="preserve">Each student will be responsible for the work in </w:t>
      </w:r>
      <w:r>
        <w:t>the</w:t>
      </w:r>
      <w:r w:rsidR="00323AFD">
        <w:t xml:space="preserve"> following areas </w:t>
      </w:r>
      <w:r w:rsidR="00F5072A" w:rsidRPr="008F3019">
        <w:t xml:space="preserve">(see </w:t>
      </w:r>
      <w:r w:rsidR="00F5072A">
        <w:t>Quercus</w:t>
      </w:r>
      <w:r w:rsidR="00F5072A" w:rsidRPr="008F3019">
        <w:t xml:space="preserve"> “Assignments” for specific guidelines and expectations)</w:t>
      </w:r>
      <w:r w:rsidR="00323AFD">
        <w:t>:</w:t>
      </w:r>
      <w:r w:rsidR="00F5072A" w:rsidRPr="008F3019">
        <w:t xml:space="preserve"> </w:t>
      </w:r>
    </w:p>
    <w:p w:rsidR="004955DF" w:rsidRDefault="004955DF" w:rsidP="00694D2F">
      <w:pPr>
        <w:pStyle w:val="Heading3"/>
        <w:tabs>
          <w:tab w:val="left" w:pos="5556"/>
        </w:tabs>
      </w:pPr>
      <w:r>
        <w:t>Assignment 1</w:t>
      </w:r>
      <w:r w:rsidR="00694D2F">
        <w:t>: Reflexive Paper and Research Question Development (</w:t>
      </w:r>
      <w:r w:rsidR="00584CF1">
        <w:t>25</w:t>
      </w:r>
      <w:r w:rsidR="00694D2F">
        <w:t xml:space="preserve">%) —Individual Submission, due </w:t>
      </w:r>
      <w:r w:rsidR="00B87CC9">
        <w:t>Feb 12</w:t>
      </w:r>
      <w:r w:rsidR="00B87CC9" w:rsidRPr="00B87CC9">
        <w:rPr>
          <w:vertAlign w:val="superscript"/>
        </w:rPr>
        <w:t>th</w:t>
      </w:r>
      <w:r w:rsidR="00B87CC9">
        <w:t xml:space="preserve"> 2021</w:t>
      </w:r>
      <w:r w:rsidR="00AC07E1">
        <w:t>, maximum</w:t>
      </w:r>
      <w:r w:rsidR="0035233F">
        <w:t xml:space="preserve"> of</w:t>
      </w:r>
      <w:r w:rsidR="00AC07E1">
        <w:t xml:space="preserve"> 3 pages (double space, Times New Roman 12, 1</w:t>
      </w:r>
      <w:r w:rsidR="0035233F">
        <w:t>-</w:t>
      </w:r>
      <w:r w:rsidR="00AC07E1">
        <w:t>inch margin).</w:t>
      </w:r>
    </w:p>
    <w:p w:rsidR="00694D2F" w:rsidRDefault="00694D2F" w:rsidP="00694D2F">
      <w:r>
        <w:t xml:space="preserve">Identify and describe one problem/issue/topic (related to public health), develop a qualitative research question, and present the goals </w:t>
      </w:r>
      <w:r w:rsidR="00CA4C19">
        <w:t xml:space="preserve">of </w:t>
      </w:r>
      <w:r>
        <w:t xml:space="preserve">a qualitative research study that would aim to answer the research question. </w:t>
      </w:r>
      <w:r w:rsidR="002E64CB">
        <w:t>The ideas covered in the course readings, class presentations, and discussions must be clearly present in the assignment.</w:t>
      </w:r>
    </w:p>
    <w:p w:rsidR="00694D2F" w:rsidRDefault="00694D2F" w:rsidP="00AC07E1">
      <w:pPr>
        <w:pStyle w:val="ListParagraph"/>
        <w:numPr>
          <w:ilvl w:val="0"/>
          <w:numId w:val="2"/>
        </w:numPr>
      </w:pPr>
      <w:r>
        <w:t xml:space="preserve">The problem or phenomenon identified </w:t>
      </w:r>
      <w:r w:rsidR="00AC07E1">
        <w:t>(public health with a social perspective) has to be clearly described. Use publicly available media and academic literature to present and support your statements.</w:t>
      </w:r>
    </w:p>
    <w:p w:rsidR="0035307A" w:rsidRDefault="004D521A" w:rsidP="00AC07E1">
      <w:pPr>
        <w:pStyle w:val="ListParagraph"/>
        <w:numPr>
          <w:ilvl w:val="0"/>
          <w:numId w:val="2"/>
        </w:numPr>
      </w:pPr>
      <w:r>
        <w:t>Key features of qualitative inquiry, relevant for the problem identified, are presented and reflected on from the perspective of the author.</w:t>
      </w:r>
    </w:p>
    <w:p w:rsidR="00AC07E1" w:rsidRDefault="00AC07E1" w:rsidP="00AC07E1">
      <w:pPr>
        <w:pStyle w:val="ListParagraph"/>
        <w:numPr>
          <w:ilvl w:val="0"/>
          <w:numId w:val="2"/>
        </w:numPr>
      </w:pPr>
      <w:r>
        <w:t>The role of the researcher (author of the paper), and a reflection of the researcher’</w:t>
      </w:r>
      <w:r w:rsidR="0035233F">
        <w:t>s</w:t>
      </w:r>
      <w:r>
        <w:t xml:space="preserve"> role</w:t>
      </w:r>
      <w:r w:rsidR="0035307A">
        <w:t xml:space="preserve"> and positionality</w:t>
      </w:r>
      <w:r>
        <w:t>, in relation to the topic or population</w:t>
      </w:r>
      <w:r w:rsidR="004D521A">
        <w:t>,</w:t>
      </w:r>
      <w:r>
        <w:t xml:space="preserve"> needs to be presented and described. </w:t>
      </w:r>
    </w:p>
    <w:p w:rsidR="00AC07E1" w:rsidRDefault="00AC07E1" w:rsidP="00AC07E1">
      <w:pPr>
        <w:pStyle w:val="ListParagraph"/>
        <w:numPr>
          <w:ilvl w:val="0"/>
          <w:numId w:val="2"/>
        </w:numPr>
      </w:pPr>
      <w:r>
        <w:t>The research question must be clearly presented and connected to the topic of interest/problem.</w:t>
      </w:r>
    </w:p>
    <w:p w:rsidR="00AC07E1" w:rsidRPr="00694D2F" w:rsidRDefault="00AF1ADA" w:rsidP="00AC07E1">
      <w:pPr>
        <w:pStyle w:val="ListParagraph"/>
        <w:numPr>
          <w:ilvl w:val="0"/>
          <w:numId w:val="2"/>
        </w:numPr>
      </w:pPr>
      <w:r>
        <w:t>Present the goals of a research study based on the problem and question.</w:t>
      </w:r>
    </w:p>
    <w:p w:rsidR="00B87CC9" w:rsidRPr="00B87CC9" w:rsidRDefault="00B87CC9" w:rsidP="00B87CC9">
      <w:pPr>
        <w:pStyle w:val="Heading3"/>
      </w:pPr>
      <w:r w:rsidRPr="00B87CC9">
        <w:t>Assignment 2: Re</w:t>
      </w:r>
      <w:bookmarkStart w:id="0" w:name="_GoBack"/>
      <w:bookmarkEnd w:id="0"/>
      <w:r w:rsidRPr="00B87CC9">
        <w:t>search Proposal (30%)—Individual or group submission (2 people max) due April 16</w:t>
      </w:r>
      <w:r w:rsidRPr="00B87CC9">
        <w:rPr>
          <w:vertAlign w:val="superscript"/>
        </w:rPr>
        <w:t>th</w:t>
      </w:r>
      <w:r w:rsidRPr="00B87CC9">
        <w:t xml:space="preserve"> 2021, maximum 10 pages (double space, Times New Roman 12, 1-inch margin).</w:t>
      </w:r>
    </w:p>
    <w:p w:rsidR="00B87CC9" w:rsidRPr="00B87CC9" w:rsidRDefault="00B87CC9" w:rsidP="00B87CC9">
      <w:r w:rsidRPr="00B87CC9">
        <w:t>Develop a research proposal, based on the SSHRC structure (this will be shared in class), and using the contents of the course and the activities presented during the seminars (further guidance and instructions will be discussed in class and posted on Quercus).</w:t>
      </w:r>
    </w:p>
    <w:p w:rsidR="00B87CC9" w:rsidRPr="00B87CC9" w:rsidRDefault="00B87CC9" w:rsidP="00B87CC9">
      <w:pPr>
        <w:pStyle w:val="ListParagraph"/>
        <w:numPr>
          <w:ilvl w:val="0"/>
          <w:numId w:val="3"/>
        </w:numPr>
      </w:pPr>
      <w:r w:rsidRPr="00B87CC9">
        <w:t>Introduce the research study, identify a relevant research problem, question, and objectives. Use a convincing argument for the reader, show that the problem is conceptualized from a qualitative paradigm.</w:t>
      </w:r>
    </w:p>
    <w:p w:rsidR="00B87CC9" w:rsidRPr="00B87CC9" w:rsidRDefault="00B87CC9" w:rsidP="00B87CC9">
      <w:pPr>
        <w:pStyle w:val="ListParagraph"/>
        <w:numPr>
          <w:ilvl w:val="0"/>
          <w:numId w:val="3"/>
        </w:numPr>
      </w:pPr>
      <w:r w:rsidRPr="00B87CC9">
        <w:t>Provide context based on available literature and studies done on the research topic to provide context and justification for the study you are proposing.</w:t>
      </w:r>
    </w:p>
    <w:p w:rsidR="00B87CC9" w:rsidRPr="00B87CC9" w:rsidRDefault="00B87CC9" w:rsidP="00B87CC9">
      <w:pPr>
        <w:pStyle w:val="ListParagraph"/>
        <w:numPr>
          <w:ilvl w:val="0"/>
          <w:numId w:val="3"/>
        </w:numPr>
      </w:pPr>
      <w:r w:rsidRPr="00B87CC9">
        <w:t>Explain the research approach and design used and justify its appropriateness.</w:t>
      </w:r>
    </w:p>
    <w:p w:rsidR="00B87CC9" w:rsidRPr="00B87CC9" w:rsidRDefault="00B87CC9" w:rsidP="00B87CC9">
      <w:pPr>
        <w:pStyle w:val="ListParagraph"/>
        <w:numPr>
          <w:ilvl w:val="0"/>
          <w:numId w:val="3"/>
        </w:numPr>
      </w:pPr>
      <w:r w:rsidRPr="00B87CC9">
        <w:lastRenderedPageBreak/>
        <w:t>Provide a description of the methods you plan to use, population and sample, sampling and recruitment strategies, data collection/generation methods.</w:t>
      </w:r>
    </w:p>
    <w:p w:rsidR="00B87CC9" w:rsidRPr="00B87CC9" w:rsidRDefault="00B87CC9" w:rsidP="00B87CC9">
      <w:pPr>
        <w:pStyle w:val="ListParagraph"/>
        <w:numPr>
          <w:ilvl w:val="0"/>
          <w:numId w:val="3"/>
        </w:numPr>
      </w:pPr>
      <w:r w:rsidRPr="00B87CC9">
        <w:t xml:space="preserve">Describe the reflexive strategies used and how these will relate to rigor. </w:t>
      </w:r>
    </w:p>
    <w:p w:rsidR="00B87CC9" w:rsidRPr="00B87CC9" w:rsidRDefault="00B87CC9" w:rsidP="00B87CC9">
      <w:pPr>
        <w:pStyle w:val="ListParagraph"/>
        <w:numPr>
          <w:ilvl w:val="0"/>
          <w:numId w:val="3"/>
        </w:numPr>
      </w:pPr>
      <w:r w:rsidRPr="00B87CC9">
        <w:t>Describe ethical considerations and challenges.</w:t>
      </w:r>
    </w:p>
    <w:p w:rsidR="00B87CC9" w:rsidRPr="00B87CC9" w:rsidRDefault="00B87CC9" w:rsidP="00B87CC9">
      <w:pPr>
        <w:pStyle w:val="ListParagraph"/>
        <w:numPr>
          <w:ilvl w:val="0"/>
          <w:numId w:val="3"/>
        </w:numPr>
      </w:pPr>
      <w:r w:rsidRPr="00B87CC9">
        <w:t>Provide a data analysis framework and plan.</w:t>
      </w:r>
    </w:p>
    <w:p w:rsidR="00B87CC9" w:rsidRPr="00B87CC9" w:rsidRDefault="00B87CC9" w:rsidP="00B87CC9">
      <w:pPr>
        <w:pStyle w:val="ListParagraph"/>
        <w:numPr>
          <w:ilvl w:val="0"/>
          <w:numId w:val="3"/>
        </w:numPr>
      </w:pPr>
      <w:r w:rsidRPr="00B87CC9">
        <w:t>Provide a budget and timeline.</w:t>
      </w:r>
    </w:p>
    <w:p w:rsidR="00B87CC9" w:rsidRPr="00B87CC9" w:rsidRDefault="00B87CC9" w:rsidP="00B87CC9">
      <w:pPr>
        <w:pStyle w:val="ListParagraph"/>
        <w:numPr>
          <w:ilvl w:val="0"/>
          <w:numId w:val="3"/>
        </w:numPr>
      </w:pPr>
      <w:r w:rsidRPr="00B87CC9">
        <w:t>Describe a knowledge translation plan (with detailed strategies if possible).</w:t>
      </w:r>
    </w:p>
    <w:p w:rsidR="00B87CC9" w:rsidRPr="00B87CC9" w:rsidRDefault="00B87CC9" w:rsidP="00B87CC9">
      <w:pPr>
        <w:pStyle w:val="ListParagraph"/>
        <w:numPr>
          <w:ilvl w:val="0"/>
          <w:numId w:val="3"/>
        </w:numPr>
      </w:pPr>
      <w:r w:rsidRPr="00B87CC9">
        <w:t>Identify impact and outcomes.</w:t>
      </w:r>
    </w:p>
    <w:p w:rsidR="00B87CC9" w:rsidRPr="00B87CC9" w:rsidRDefault="00B87CC9" w:rsidP="00B87CC9">
      <w:pPr>
        <w:pStyle w:val="ListParagraph"/>
        <w:numPr>
          <w:ilvl w:val="0"/>
          <w:numId w:val="3"/>
        </w:numPr>
      </w:pPr>
      <w:r w:rsidRPr="00B87CC9">
        <w:t>Include references and relevant appendices (appendices only if needed, not mandatory).</w:t>
      </w:r>
    </w:p>
    <w:p w:rsidR="00B87CC9" w:rsidRPr="00B87CC9" w:rsidRDefault="00B87CC9" w:rsidP="00B87CC9">
      <w:pPr>
        <w:pStyle w:val="ListParagraph"/>
        <w:numPr>
          <w:ilvl w:val="0"/>
          <w:numId w:val="3"/>
        </w:numPr>
      </w:pPr>
      <w:r w:rsidRPr="00B87CC9">
        <w:t>For a group-submission include contributions of each member of the group after the appendix</w:t>
      </w:r>
    </w:p>
    <w:p w:rsidR="004955DF" w:rsidRDefault="00584CF1" w:rsidP="004955DF">
      <w:pPr>
        <w:pStyle w:val="Heading3"/>
      </w:pPr>
      <w:r>
        <w:t xml:space="preserve">Leading one Seminar—Discussion and Presentation </w:t>
      </w:r>
      <w:r w:rsidR="00CA4C19">
        <w:t>(</w:t>
      </w:r>
      <w:r>
        <w:t>20</w:t>
      </w:r>
      <w:r w:rsidR="00CA4C19">
        <w:t xml:space="preserve">%)—Individual </w:t>
      </w:r>
      <w:r>
        <w:t>or group (2 people max)</w:t>
      </w:r>
      <w:r w:rsidR="00207F24">
        <w:t xml:space="preserve">. Specific instructions will be given in class and </w:t>
      </w:r>
      <w:r>
        <w:t xml:space="preserve">during the seminar </w:t>
      </w:r>
      <w:r w:rsidR="00207F24">
        <w:t>(different types of visual, text and audio media will be accepted</w:t>
      </w:r>
      <w:r w:rsidR="00CA4C19">
        <w:t>).</w:t>
      </w:r>
    </w:p>
    <w:p w:rsidR="0002663E" w:rsidRDefault="00584CF1" w:rsidP="00CA4C19">
      <w:r>
        <w:t xml:space="preserve">Lead one seminar: </w:t>
      </w:r>
      <w:r w:rsidR="0002663E">
        <w:t xml:space="preserve">you must </w:t>
      </w:r>
      <w:r>
        <w:t xml:space="preserve">lead the group discussion around the theme worked in class during the previous week (e.g. </w:t>
      </w:r>
      <w:r w:rsidR="00B87CC9">
        <w:t xml:space="preserve">during </w:t>
      </w:r>
      <w:r>
        <w:t xml:space="preserve">the seminar on week 4 </w:t>
      </w:r>
      <w:r w:rsidR="00B87CC9">
        <w:t xml:space="preserve">we will be discussing </w:t>
      </w:r>
      <w:r>
        <w:t xml:space="preserve">the theme and readings of week 3, and </w:t>
      </w:r>
      <w:r w:rsidR="00B87CC9">
        <w:t>presenting</w:t>
      </w:r>
      <w:r>
        <w:t xml:space="preserve"> and reflect</w:t>
      </w:r>
      <w:r w:rsidR="00B87CC9">
        <w:t>ing</w:t>
      </w:r>
      <w:r>
        <w:t xml:space="preserve"> on week 3</w:t>
      </w:r>
      <w:r w:rsidR="00B87CC9">
        <w:t>’s</w:t>
      </w:r>
      <w:r>
        <w:t xml:space="preserve"> activity). </w:t>
      </w:r>
      <w:r w:rsidR="00864C63">
        <w:t>The professor and/or the TA will work with you and give further support.</w:t>
      </w:r>
    </w:p>
    <w:p w:rsidR="00B87CC9" w:rsidRPr="00B87CC9" w:rsidRDefault="00584CF1" w:rsidP="00CA4C19">
      <w:r>
        <w:t xml:space="preserve">To engage with your peers and foster a critical discussion you can use any media </w:t>
      </w:r>
      <w:r w:rsidRPr="00B87CC9">
        <w:t xml:space="preserve">available, you may use the weekly readings and the weekly activity as starting points. </w:t>
      </w:r>
    </w:p>
    <w:p w:rsidR="00584CF1" w:rsidRPr="00B87CC9" w:rsidRDefault="00584CF1" w:rsidP="005713C9">
      <w:pPr>
        <w:pStyle w:val="Heading3"/>
      </w:pPr>
      <w:r w:rsidRPr="00B87CC9">
        <w:t>Seminar Participation (25%)—Engage in the weekly seminar discussion</w:t>
      </w:r>
    </w:p>
    <w:p w:rsidR="00584CF1" w:rsidRPr="00B87CC9" w:rsidRDefault="00584CF1" w:rsidP="00584CF1">
      <w:r w:rsidRPr="00B87CC9">
        <w:t xml:space="preserve">Participation marks will be given weekly. Every week there will be an exercise to be done at home or during the seminar; the exercise and a critical reflection on the topic worked in class </w:t>
      </w:r>
      <w:r w:rsidR="0002663E">
        <w:t>must</w:t>
      </w:r>
      <w:r w:rsidRPr="00B87CC9">
        <w:t xml:space="preserve"> be shared during the seminar. The exercises and reflexive pieces must be done individually. </w:t>
      </w:r>
      <w:r w:rsidR="00371B2B">
        <w:t>Measures to protect the confidentiality of the material presented will be implemented</w:t>
      </w:r>
      <w:r w:rsidR="00187E37">
        <w:t xml:space="preserve"> if needed</w:t>
      </w:r>
      <w:r w:rsidR="00371B2B">
        <w:t>.</w:t>
      </w:r>
    </w:p>
    <w:p w:rsidR="00584CF1" w:rsidRPr="00B87CC9" w:rsidRDefault="00584CF1" w:rsidP="00584CF1">
      <w:r w:rsidRPr="00B87CC9">
        <w:t>The instructions and details of the weekly activities will be weekly explained in class and/or during the seminars and will be posted in Quercus. If for any reason you cannot attend the seminar, contact the professor and the TA in advance to arrange a way of sharing your work.</w:t>
      </w:r>
    </w:p>
    <w:p w:rsidR="00584CF1" w:rsidRPr="00B87CC9" w:rsidRDefault="00584CF1" w:rsidP="00584CF1">
      <w:r w:rsidRPr="00B87CC9">
        <w:t>The activity and reflexive piece may have the format of a written piece, an image(s), a video clip, an audio file, a map, a poem, or other art forms; this will be specifically indicated and described weekly in class and posted in Quercus.</w:t>
      </w:r>
    </w:p>
    <w:p w:rsidR="009C4C9D" w:rsidRPr="00711A8B" w:rsidRDefault="009C4C9D" w:rsidP="00711A8B">
      <w:pPr>
        <w:pStyle w:val="ListParagraph"/>
      </w:pPr>
    </w:p>
    <w:p w:rsidR="002E64CB" w:rsidRDefault="002E64CB" w:rsidP="00203FE1">
      <w:pPr>
        <w:pStyle w:val="Heading2"/>
      </w:pPr>
      <w:r>
        <w:t>Criteria for Grading Assignments</w:t>
      </w:r>
    </w:p>
    <w:p w:rsidR="004D681B" w:rsidRDefault="004D681B" w:rsidP="004D681B">
      <w:r>
        <w:t>Assessment and grading practices are subject to the grading regulations outlined by the School of Graduate Studies, University of Toronto.</w:t>
      </w:r>
    </w:p>
    <w:p w:rsidR="002E64CB" w:rsidRDefault="002E64CB" w:rsidP="00203FE1"/>
    <w:tbl>
      <w:tblPr>
        <w:tblStyle w:val="TableGrid"/>
        <w:tblW w:w="0" w:type="auto"/>
        <w:tblLook w:val="04A0" w:firstRow="1" w:lastRow="0" w:firstColumn="1" w:lastColumn="0" w:noHBand="0" w:noVBand="1"/>
      </w:tblPr>
      <w:tblGrid>
        <w:gridCol w:w="625"/>
        <w:gridCol w:w="8725"/>
      </w:tblGrid>
      <w:tr w:rsidR="002E64CB" w:rsidTr="0028324F">
        <w:tc>
          <w:tcPr>
            <w:tcW w:w="625" w:type="dxa"/>
            <w:shd w:val="clear" w:color="auto" w:fill="EEECE1" w:themeFill="background2"/>
          </w:tcPr>
          <w:p w:rsidR="002E64CB" w:rsidRPr="00766937" w:rsidRDefault="004D681B" w:rsidP="002E64CB">
            <w:pPr>
              <w:rPr>
                <w:b/>
              </w:rPr>
            </w:pPr>
            <w:r w:rsidRPr="00766937">
              <w:rPr>
                <w:b/>
              </w:rPr>
              <w:lastRenderedPageBreak/>
              <w:t>B+</w:t>
            </w:r>
          </w:p>
        </w:tc>
        <w:tc>
          <w:tcPr>
            <w:tcW w:w="8725" w:type="dxa"/>
          </w:tcPr>
          <w:p w:rsidR="002E64CB" w:rsidRDefault="004D681B" w:rsidP="002E64CB">
            <w:r w:rsidRPr="0028324F">
              <w:rPr>
                <w:b/>
              </w:rPr>
              <w:t>Understanding of the central ideas</w:t>
            </w:r>
            <w:r>
              <w:t xml:space="preserve"> and arguments covered in the course readings, class presentations</w:t>
            </w:r>
            <w:r w:rsidR="00DB0575">
              <w:t>,</w:t>
            </w:r>
            <w:r>
              <w:t xml:space="preserve"> and discussions, applied to the student’s research interests. Well-written, coherent, well organized, and concise.</w:t>
            </w:r>
          </w:p>
        </w:tc>
      </w:tr>
      <w:tr w:rsidR="002E64CB" w:rsidTr="0028324F">
        <w:tc>
          <w:tcPr>
            <w:tcW w:w="625" w:type="dxa"/>
            <w:shd w:val="clear" w:color="auto" w:fill="EEECE1" w:themeFill="background2"/>
          </w:tcPr>
          <w:p w:rsidR="002E64CB" w:rsidRPr="00766937" w:rsidRDefault="002E64CB" w:rsidP="002E64CB">
            <w:pPr>
              <w:rPr>
                <w:b/>
              </w:rPr>
            </w:pPr>
            <w:r w:rsidRPr="00766937">
              <w:rPr>
                <w:b/>
              </w:rPr>
              <w:t>A</w:t>
            </w:r>
            <w:r w:rsidR="004D681B" w:rsidRPr="00766937">
              <w:rPr>
                <w:b/>
              </w:rPr>
              <w:t>-</w:t>
            </w:r>
          </w:p>
        </w:tc>
        <w:tc>
          <w:tcPr>
            <w:tcW w:w="8725" w:type="dxa"/>
          </w:tcPr>
          <w:p w:rsidR="002E64CB" w:rsidRDefault="004D681B" w:rsidP="002E64CB">
            <w:r>
              <w:t xml:space="preserve">The above, plus the ability to </w:t>
            </w:r>
            <w:r w:rsidRPr="0028324F">
              <w:rPr>
                <w:b/>
              </w:rPr>
              <w:t>integrate and analyze</w:t>
            </w:r>
            <w:r>
              <w:t xml:space="preserve"> the ideas/arguments covered in the course readings, class presentations</w:t>
            </w:r>
            <w:r w:rsidR="00DB0575">
              <w:t>,</w:t>
            </w:r>
            <w:r>
              <w:t xml:space="preserve"> and discussions, applied to the student’s research interests.</w:t>
            </w:r>
          </w:p>
        </w:tc>
      </w:tr>
      <w:tr w:rsidR="002E64CB" w:rsidTr="0028324F">
        <w:tc>
          <w:tcPr>
            <w:tcW w:w="625" w:type="dxa"/>
            <w:shd w:val="clear" w:color="auto" w:fill="EEECE1" w:themeFill="background2"/>
          </w:tcPr>
          <w:p w:rsidR="002E64CB" w:rsidRPr="00766937" w:rsidRDefault="004D681B" w:rsidP="002E64CB">
            <w:pPr>
              <w:rPr>
                <w:b/>
              </w:rPr>
            </w:pPr>
            <w:r w:rsidRPr="00766937">
              <w:rPr>
                <w:b/>
              </w:rPr>
              <w:t>A</w:t>
            </w:r>
          </w:p>
        </w:tc>
        <w:tc>
          <w:tcPr>
            <w:tcW w:w="8725" w:type="dxa"/>
          </w:tcPr>
          <w:p w:rsidR="002E64CB" w:rsidRDefault="004D681B" w:rsidP="004D681B">
            <w:r>
              <w:t xml:space="preserve">The above plus the </w:t>
            </w:r>
            <w:r w:rsidRPr="0028324F">
              <w:rPr>
                <w:b/>
              </w:rPr>
              <w:t>ability to go beyond</w:t>
            </w:r>
            <w:r>
              <w:t xml:space="preserve"> </w:t>
            </w:r>
            <w:r w:rsidRPr="004D681B">
              <w:t>the ideas/arguments covered in the course readings, class presentations and discussions, in a critical and constructive manner (i.e., compare and contrast ideas/arguments, consider their implications, articulate your own position in relation to the central ideas/arguments; the ability to support your own position).</w:t>
            </w:r>
          </w:p>
        </w:tc>
      </w:tr>
      <w:tr w:rsidR="004D681B" w:rsidTr="0028324F">
        <w:tc>
          <w:tcPr>
            <w:tcW w:w="625" w:type="dxa"/>
            <w:shd w:val="clear" w:color="auto" w:fill="EEECE1" w:themeFill="background2"/>
          </w:tcPr>
          <w:p w:rsidR="004D681B" w:rsidRPr="00766937" w:rsidRDefault="004D681B" w:rsidP="004D681B">
            <w:pPr>
              <w:rPr>
                <w:b/>
              </w:rPr>
            </w:pPr>
            <w:r w:rsidRPr="00766937">
              <w:rPr>
                <w:b/>
              </w:rPr>
              <w:t>A+</w:t>
            </w:r>
          </w:p>
        </w:tc>
        <w:tc>
          <w:tcPr>
            <w:tcW w:w="8725" w:type="dxa"/>
          </w:tcPr>
          <w:p w:rsidR="004D681B" w:rsidRDefault="004D681B" w:rsidP="004D681B">
            <w:r w:rsidRPr="004D681B">
              <w:t xml:space="preserve">The above, plus </w:t>
            </w:r>
            <w:r w:rsidRPr="0028324F">
              <w:rPr>
                <w:b/>
              </w:rPr>
              <w:t>intellectual creativity and flexibility</w:t>
            </w:r>
            <w:r w:rsidRPr="004D681B">
              <w:t xml:space="preserve"> (e.g., a new synthesis, insight or application).</w:t>
            </w:r>
          </w:p>
        </w:tc>
      </w:tr>
    </w:tbl>
    <w:p w:rsidR="002E64CB" w:rsidRDefault="002E64CB" w:rsidP="00203FE1"/>
    <w:p w:rsidR="004D681B" w:rsidRDefault="004D681B" w:rsidP="004D681B">
      <w:pPr>
        <w:spacing w:before="120" w:after="120" w:line="360" w:lineRule="auto"/>
        <w:rPr>
          <w:b/>
        </w:rPr>
      </w:pPr>
      <w:r w:rsidRPr="00E34968">
        <w:rPr>
          <w:b/>
        </w:rPr>
        <w:t xml:space="preserve">Grading Scale, School of Graduate Studies, University of Toronto: </w:t>
      </w:r>
    </w:p>
    <w:tbl>
      <w:tblPr>
        <w:tblW w:w="0" w:type="auto"/>
        <w:jc w:val="center"/>
        <w:tblBorders>
          <w:top w:val="nil"/>
          <w:left w:val="nil"/>
          <w:bottom w:val="nil"/>
          <w:right w:val="nil"/>
        </w:tblBorders>
        <w:tblLayout w:type="fixed"/>
        <w:tblLook w:val="0000" w:firstRow="0" w:lastRow="0" w:firstColumn="0" w:lastColumn="0" w:noHBand="0" w:noVBand="0"/>
      </w:tblPr>
      <w:tblGrid>
        <w:gridCol w:w="2795"/>
        <w:gridCol w:w="2795"/>
      </w:tblGrid>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Letter Grade Scale </w:t>
            </w:r>
          </w:p>
        </w:tc>
        <w:tc>
          <w:tcPr>
            <w:tcW w:w="2795" w:type="dxa"/>
          </w:tcPr>
          <w:p w:rsidR="004D681B" w:rsidRDefault="004D681B" w:rsidP="000112E1">
            <w:pPr>
              <w:pStyle w:val="Default"/>
              <w:rPr>
                <w:sz w:val="22"/>
                <w:szCs w:val="22"/>
              </w:rPr>
            </w:pPr>
            <w:r>
              <w:rPr>
                <w:sz w:val="22"/>
                <w:szCs w:val="22"/>
              </w:rPr>
              <w:t xml:space="preserve">Scale of Marks </w:t>
            </w:r>
          </w:p>
        </w:tc>
      </w:tr>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A+ </w:t>
            </w:r>
          </w:p>
        </w:tc>
        <w:tc>
          <w:tcPr>
            <w:tcW w:w="2795" w:type="dxa"/>
          </w:tcPr>
          <w:p w:rsidR="004D681B" w:rsidRDefault="004D681B" w:rsidP="000112E1">
            <w:pPr>
              <w:pStyle w:val="Default"/>
              <w:rPr>
                <w:sz w:val="22"/>
                <w:szCs w:val="22"/>
              </w:rPr>
            </w:pPr>
            <w:r>
              <w:rPr>
                <w:sz w:val="22"/>
                <w:szCs w:val="22"/>
              </w:rPr>
              <w:t xml:space="preserve">90 - 100% </w:t>
            </w:r>
          </w:p>
        </w:tc>
      </w:tr>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A </w:t>
            </w:r>
          </w:p>
        </w:tc>
        <w:tc>
          <w:tcPr>
            <w:tcW w:w="2795" w:type="dxa"/>
          </w:tcPr>
          <w:p w:rsidR="004D681B" w:rsidRDefault="004D681B" w:rsidP="000112E1">
            <w:pPr>
              <w:pStyle w:val="Default"/>
              <w:rPr>
                <w:sz w:val="22"/>
                <w:szCs w:val="22"/>
              </w:rPr>
            </w:pPr>
            <w:r>
              <w:rPr>
                <w:sz w:val="22"/>
                <w:szCs w:val="22"/>
              </w:rPr>
              <w:t xml:space="preserve">85 - 89% </w:t>
            </w:r>
          </w:p>
        </w:tc>
      </w:tr>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A- </w:t>
            </w:r>
          </w:p>
        </w:tc>
        <w:tc>
          <w:tcPr>
            <w:tcW w:w="2795" w:type="dxa"/>
          </w:tcPr>
          <w:p w:rsidR="004D681B" w:rsidRDefault="004D681B" w:rsidP="000112E1">
            <w:pPr>
              <w:pStyle w:val="Default"/>
              <w:rPr>
                <w:sz w:val="22"/>
                <w:szCs w:val="22"/>
              </w:rPr>
            </w:pPr>
            <w:r>
              <w:rPr>
                <w:sz w:val="22"/>
                <w:szCs w:val="22"/>
              </w:rPr>
              <w:t xml:space="preserve">80 - 84% </w:t>
            </w:r>
          </w:p>
        </w:tc>
      </w:tr>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B+ </w:t>
            </w:r>
          </w:p>
        </w:tc>
        <w:tc>
          <w:tcPr>
            <w:tcW w:w="2795" w:type="dxa"/>
          </w:tcPr>
          <w:p w:rsidR="004D681B" w:rsidRDefault="004D681B" w:rsidP="000112E1">
            <w:pPr>
              <w:pStyle w:val="Default"/>
              <w:rPr>
                <w:sz w:val="22"/>
                <w:szCs w:val="22"/>
              </w:rPr>
            </w:pPr>
            <w:r>
              <w:rPr>
                <w:sz w:val="22"/>
                <w:szCs w:val="22"/>
              </w:rPr>
              <w:t xml:space="preserve">77 - 79% </w:t>
            </w:r>
          </w:p>
        </w:tc>
      </w:tr>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B </w:t>
            </w:r>
          </w:p>
        </w:tc>
        <w:tc>
          <w:tcPr>
            <w:tcW w:w="2795" w:type="dxa"/>
          </w:tcPr>
          <w:p w:rsidR="004D681B" w:rsidRDefault="004D681B" w:rsidP="000112E1">
            <w:pPr>
              <w:pStyle w:val="Default"/>
              <w:rPr>
                <w:sz w:val="22"/>
                <w:szCs w:val="22"/>
              </w:rPr>
            </w:pPr>
            <w:r>
              <w:rPr>
                <w:sz w:val="22"/>
                <w:szCs w:val="22"/>
              </w:rPr>
              <w:t xml:space="preserve">73 - 76% </w:t>
            </w:r>
          </w:p>
        </w:tc>
      </w:tr>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B- </w:t>
            </w:r>
          </w:p>
        </w:tc>
        <w:tc>
          <w:tcPr>
            <w:tcW w:w="2795" w:type="dxa"/>
          </w:tcPr>
          <w:p w:rsidR="004D681B" w:rsidRDefault="004D681B" w:rsidP="000112E1">
            <w:pPr>
              <w:pStyle w:val="Default"/>
              <w:rPr>
                <w:sz w:val="22"/>
                <w:szCs w:val="22"/>
              </w:rPr>
            </w:pPr>
            <w:r>
              <w:rPr>
                <w:sz w:val="22"/>
                <w:szCs w:val="22"/>
              </w:rPr>
              <w:t xml:space="preserve">70 - 72% </w:t>
            </w:r>
          </w:p>
        </w:tc>
      </w:tr>
      <w:tr w:rsidR="004D681B" w:rsidTr="000112E1">
        <w:trPr>
          <w:trHeight w:val="280"/>
          <w:jc w:val="center"/>
        </w:trPr>
        <w:tc>
          <w:tcPr>
            <w:tcW w:w="2795" w:type="dxa"/>
          </w:tcPr>
          <w:p w:rsidR="004D681B" w:rsidRDefault="004D681B" w:rsidP="000112E1">
            <w:pPr>
              <w:pStyle w:val="Default"/>
              <w:rPr>
                <w:sz w:val="22"/>
                <w:szCs w:val="22"/>
              </w:rPr>
            </w:pPr>
            <w:r>
              <w:rPr>
                <w:sz w:val="22"/>
                <w:szCs w:val="22"/>
              </w:rPr>
              <w:t xml:space="preserve">FZ (Fail) </w:t>
            </w:r>
          </w:p>
        </w:tc>
        <w:tc>
          <w:tcPr>
            <w:tcW w:w="2795" w:type="dxa"/>
          </w:tcPr>
          <w:p w:rsidR="004D681B" w:rsidRDefault="004D681B" w:rsidP="000112E1">
            <w:pPr>
              <w:pStyle w:val="Default"/>
              <w:rPr>
                <w:sz w:val="22"/>
                <w:szCs w:val="22"/>
              </w:rPr>
            </w:pPr>
            <w:r>
              <w:rPr>
                <w:sz w:val="22"/>
                <w:szCs w:val="22"/>
              </w:rPr>
              <w:t xml:space="preserve">0-69% </w:t>
            </w:r>
          </w:p>
        </w:tc>
      </w:tr>
    </w:tbl>
    <w:p w:rsidR="002E64CB" w:rsidRPr="002E64CB" w:rsidRDefault="002E64CB" w:rsidP="00203FE1"/>
    <w:p w:rsidR="002E64CB" w:rsidRPr="002E64CB" w:rsidRDefault="002E64CB" w:rsidP="00203FE1"/>
    <w:p w:rsidR="000D2960" w:rsidRDefault="000D2960" w:rsidP="00334568">
      <w:pPr>
        <w:pStyle w:val="Default"/>
      </w:pPr>
      <w:r>
        <w:br w:type="page"/>
      </w:r>
    </w:p>
    <w:p w:rsidR="000D2960" w:rsidRDefault="000D2960" w:rsidP="000D2960">
      <w:pPr>
        <w:pStyle w:val="Heading2"/>
      </w:pPr>
      <w:r>
        <w:lastRenderedPageBreak/>
        <w:t>Class Schedule</w:t>
      </w:r>
    </w:p>
    <w:p w:rsidR="0066669F" w:rsidRPr="0066669F" w:rsidRDefault="0066669F" w:rsidP="0066669F"/>
    <w:tbl>
      <w:tblPr>
        <w:tblStyle w:val="TableGrid"/>
        <w:tblW w:w="0" w:type="auto"/>
        <w:tblLook w:val="04A0" w:firstRow="1" w:lastRow="0" w:firstColumn="1" w:lastColumn="0" w:noHBand="0" w:noVBand="1"/>
      </w:tblPr>
      <w:tblGrid>
        <w:gridCol w:w="1090"/>
        <w:gridCol w:w="1855"/>
        <w:gridCol w:w="6405"/>
      </w:tblGrid>
      <w:tr w:rsidR="000434FA" w:rsidTr="000434FA">
        <w:tc>
          <w:tcPr>
            <w:tcW w:w="1090" w:type="dxa"/>
            <w:shd w:val="clear" w:color="auto" w:fill="EEECE1" w:themeFill="background2"/>
          </w:tcPr>
          <w:p w:rsidR="000434FA" w:rsidRDefault="000434FA" w:rsidP="000D2960">
            <w:pPr>
              <w:pStyle w:val="Heading2"/>
              <w:outlineLvl w:val="1"/>
            </w:pPr>
            <w:r>
              <w:t>Week</w:t>
            </w:r>
          </w:p>
        </w:tc>
        <w:tc>
          <w:tcPr>
            <w:tcW w:w="1855" w:type="dxa"/>
            <w:shd w:val="clear" w:color="auto" w:fill="EEECE1" w:themeFill="background2"/>
          </w:tcPr>
          <w:p w:rsidR="000434FA" w:rsidRDefault="003827FD" w:rsidP="003C64C9">
            <w:pPr>
              <w:pStyle w:val="Heading2"/>
              <w:outlineLvl w:val="1"/>
            </w:pPr>
            <w:r>
              <w:t>Date (2021</w:t>
            </w:r>
            <w:r w:rsidR="000434FA">
              <w:t>)</w:t>
            </w:r>
          </w:p>
        </w:tc>
        <w:tc>
          <w:tcPr>
            <w:tcW w:w="6405" w:type="dxa"/>
            <w:shd w:val="clear" w:color="auto" w:fill="EEECE1" w:themeFill="background2"/>
          </w:tcPr>
          <w:p w:rsidR="000434FA" w:rsidRDefault="000434FA" w:rsidP="0013268F">
            <w:pPr>
              <w:pStyle w:val="Heading2"/>
              <w:outlineLvl w:val="1"/>
            </w:pPr>
            <w:r>
              <w:t>Topic</w:t>
            </w:r>
          </w:p>
        </w:tc>
      </w:tr>
      <w:tr w:rsidR="000D2960" w:rsidTr="000434FA">
        <w:tc>
          <w:tcPr>
            <w:tcW w:w="1090" w:type="dxa"/>
          </w:tcPr>
          <w:p w:rsidR="000D2960" w:rsidRDefault="00BE4E0D" w:rsidP="000D2960">
            <w:pPr>
              <w:pStyle w:val="Heading2"/>
              <w:outlineLvl w:val="1"/>
            </w:pPr>
            <w:r>
              <w:t>1</w:t>
            </w:r>
          </w:p>
        </w:tc>
        <w:tc>
          <w:tcPr>
            <w:tcW w:w="1855" w:type="dxa"/>
          </w:tcPr>
          <w:p w:rsidR="000D2960" w:rsidRDefault="003827FD" w:rsidP="003C64C9">
            <w:pPr>
              <w:pStyle w:val="Heading2"/>
              <w:outlineLvl w:val="1"/>
            </w:pPr>
            <w:r>
              <w:t>Jan 11</w:t>
            </w:r>
            <w:r w:rsidR="000434FA">
              <w:t xml:space="preserve"> </w:t>
            </w:r>
          </w:p>
        </w:tc>
        <w:tc>
          <w:tcPr>
            <w:tcW w:w="6405" w:type="dxa"/>
          </w:tcPr>
          <w:p w:rsidR="000D2960" w:rsidRDefault="00A53DAD" w:rsidP="006E1E77">
            <w:pPr>
              <w:pStyle w:val="Heading2"/>
              <w:outlineLvl w:val="1"/>
            </w:pPr>
            <w:r>
              <w:t>Intro</w:t>
            </w:r>
            <w:r w:rsidR="000434FA">
              <w:t>d</w:t>
            </w:r>
            <w:r w:rsidR="00A2784F">
              <w:t xml:space="preserve">uction to </w:t>
            </w:r>
            <w:r w:rsidR="006E1E77">
              <w:t xml:space="preserve">the course </w:t>
            </w:r>
          </w:p>
        </w:tc>
      </w:tr>
      <w:tr w:rsidR="000434FA" w:rsidTr="000434FA">
        <w:tc>
          <w:tcPr>
            <w:tcW w:w="1090" w:type="dxa"/>
          </w:tcPr>
          <w:p w:rsidR="000434FA" w:rsidRDefault="000434FA" w:rsidP="000434FA">
            <w:pPr>
              <w:pStyle w:val="Heading2"/>
              <w:outlineLvl w:val="1"/>
            </w:pPr>
            <w:r>
              <w:t>2</w:t>
            </w:r>
          </w:p>
        </w:tc>
        <w:tc>
          <w:tcPr>
            <w:tcW w:w="1855" w:type="dxa"/>
          </w:tcPr>
          <w:p w:rsidR="000434FA" w:rsidRDefault="003827FD" w:rsidP="000434FA">
            <w:pPr>
              <w:pStyle w:val="Heading2"/>
              <w:outlineLvl w:val="1"/>
            </w:pPr>
            <w:r>
              <w:t>Jan 18</w:t>
            </w:r>
          </w:p>
        </w:tc>
        <w:tc>
          <w:tcPr>
            <w:tcW w:w="6405" w:type="dxa"/>
          </w:tcPr>
          <w:p w:rsidR="000434FA" w:rsidRDefault="006E1E77" w:rsidP="000434FA">
            <w:pPr>
              <w:pStyle w:val="Heading2"/>
              <w:outlineLvl w:val="1"/>
            </w:pPr>
            <w:r>
              <w:t xml:space="preserve">Is there such a thing as truth? </w:t>
            </w:r>
            <w:r w:rsidR="00FE1455" w:rsidRPr="006E1E77">
              <w:rPr>
                <w:i/>
                <w:sz w:val="28"/>
              </w:rPr>
              <w:t xml:space="preserve">Ontology, </w:t>
            </w:r>
            <w:r w:rsidR="000434FA" w:rsidRPr="006E1E77">
              <w:rPr>
                <w:i/>
                <w:sz w:val="28"/>
              </w:rPr>
              <w:t>Epistemology</w:t>
            </w:r>
            <w:r w:rsidR="00FE1455" w:rsidRPr="006E1E77">
              <w:rPr>
                <w:i/>
                <w:sz w:val="28"/>
              </w:rPr>
              <w:t>,</w:t>
            </w:r>
            <w:r w:rsidR="000434FA" w:rsidRPr="006E1E77">
              <w:rPr>
                <w:i/>
                <w:sz w:val="28"/>
              </w:rPr>
              <w:t xml:space="preserve"> and Methodology</w:t>
            </w:r>
          </w:p>
        </w:tc>
      </w:tr>
      <w:tr w:rsidR="000434FA" w:rsidTr="000434FA">
        <w:tc>
          <w:tcPr>
            <w:tcW w:w="1090" w:type="dxa"/>
          </w:tcPr>
          <w:p w:rsidR="000434FA" w:rsidRDefault="000434FA" w:rsidP="000434FA">
            <w:pPr>
              <w:pStyle w:val="Heading2"/>
              <w:outlineLvl w:val="1"/>
            </w:pPr>
            <w:r>
              <w:t>3</w:t>
            </w:r>
          </w:p>
        </w:tc>
        <w:tc>
          <w:tcPr>
            <w:tcW w:w="1855" w:type="dxa"/>
          </w:tcPr>
          <w:p w:rsidR="000434FA" w:rsidRDefault="003827FD" w:rsidP="000434FA">
            <w:pPr>
              <w:pStyle w:val="Heading2"/>
              <w:outlineLvl w:val="1"/>
            </w:pPr>
            <w:r>
              <w:t>Jan 25</w:t>
            </w:r>
          </w:p>
        </w:tc>
        <w:tc>
          <w:tcPr>
            <w:tcW w:w="6405" w:type="dxa"/>
          </w:tcPr>
          <w:p w:rsidR="000434FA" w:rsidRDefault="006E1E77" w:rsidP="006E1E77">
            <w:pPr>
              <w:pStyle w:val="Heading2"/>
              <w:outlineLvl w:val="1"/>
            </w:pPr>
            <w:r>
              <w:t>Why you can’t think “</w:t>
            </w:r>
            <w:r w:rsidRPr="006E1E77">
              <w:rPr>
                <w:i/>
              </w:rPr>
              <w:t>outside</w:t>
            </w:r>
            <w:r>
              <w:rPr>
                <w:i/>
              </w:rPr>
              <w:t xml:space="preserve"> of</w:t>
            </w:r>
            <w:r w:rsidRPr="006E1E77">
              <w:rPr>
                <w:i/>
              </w:rPr>
              <w:t xml:space="preserve"> the box</w:t>
            </w:r>
            <w:r>
              <w:t xml:space="preserve">” and why there is no box. </w:t>
            </w:r>
            <w:r w:rsidR="000434FA" w:rsidRPr="006E1E77">
              <w:rPr>
                <w:i/>
              </w:rPr>
              <w:t>Research Problems and Questions</w:t>
            </w:r>
          </w:p>
        </w:tc>
      </w:tr>
      <w:tr w:rsidR="000434FA" w:rsidTr="000434FA">
        <w:tc>
          <w:tcPr>
            <w:tcW w:w="1090" w:type="dxa"/>
          </w:tcPr>
          <w:p w:rsidR="000434FA" w:rsidRDefault="000434FA" w:rsidP="000434FA">
            <w:pPr>
              <w:pStyle w:val="Heading2"/>
              <w:outlineLvl w:val="1"/>
            </w:pPr>
            <w:r>
              <w:t>4</w:t>
            </w:r>
          </w:p>
        </w:tc>
        <w:tc>
          <w:tcPr>
            <w:tcW w:w="1855" w:type="dxa"/>
          </w:tcPr>
          <w:p w:rsidR="000434FA" w:rsidRDefault="003827FD" w:rsidP="000434FA">
            <w:pPr>
              <w:pStyle w:val="Heading2"/>
              <w:outlineLvl w:val="1"/>
            </w:pPr>
            <w:r>
              <w:t>Feb 1</w:t>
            </w:r>
          </w:p>
        </w:tc>
        <w:tc>
          <w:tcPr>
            <w:tcW w:w="6405" w:type="dxa"/>
          </w:tcPr>
          <w:p w:rsidR="000434FA" w:rsidRDefault="006E1E77" w:rsidP="000434FA">
            <w:pPr>
              <w:pStyle w:val="Heading2"/>
              <w:outlineLvl w:val="1"/>
            </w:pPr>
            <w:r>
              <w:t xml:space="preserve">The world and you. </w:t>
            </w:r>
            <w:r w:rsidR="000434FA" w:rsidRPr="006E1E77">
              <w:rPr>
                <w:i/>
              </w:rPr>
              <w:t>Reflexivity in Qualitative Research</w:t>
            </w:r>
          </w:p>
        </w:tc>
      </w:tr>
      <w:tr w:rsidR="000434FA" w:rsidTr="000434FA">
        <w:tc>
          <w:tcPr>
            <w:tcW w:w="1090" w:type="dxa"/>
          </w:tcPr>
          <w:p w:rsidR="000434FA" w:rsidRDefault="000434FA" w:rsidP="000434FA">
            <w:pPr>
              <w:pStyle w:val="Heading2"/>
              <w:outlineLvl w:val="1"/>
            </w:pPr>
            <w:r>
              <w:t>5</w:t>
            </w:r>
          </w:p>
        </w:tc>
        <w:tc>
          <w:tcPr>
            <w:tcW w:w="1855" w:type="dxa"/>
          </w:tcPr>
          <w:p w:rsidR="000434FA" w:rsidRDefault="003827FD" w:rsidP="000434FA">
            <w:pPr>
              <w:pStyle w:val="Heading2"/>
              <w:outlineLvl w:val="1"/>
            </w:pPr>
            <w:r>
              <w:t>Feb 8</w:t>
            </w:r>
          </w:p>
        </w:tc>
        <w:tc>
          <w:tcPr>
            <w:tcW w:w="6405" w:type="dxa"/>
          </w:tcPr>
          <w:p w:rsidR="000434FA" w:rsidRDefault="006E1E77" w:rsidP="000434FA">
            <w:pPr>
              <w:pStyle w:val="Heading2"/>
              <w:outlineLvl w:val="1"/>
            </w:pPr>
            <w:r>
              <w:t xml:space="preserve">Who are they? </w:t>
            </w:r>
            <w:r w:rsidR="000434FA" w:rsidRPr="006E1E77">
              <w:rPr>
                <w:i/>
              </w:rPr>
              <w:t>Participants and Populations</w:t>
            </w:r>
          </w:p>
        </w:tc>
      </w:tr>
      <w:tr w:rsidR="000434FA" w:rsidTr="000434FA">
        <w:tc>
          <w:tcPr>
            <w:tcW w:w="1090" w:type="dxa"/>
          </w:tcPr>
          <w:p w:rsidR="000434FA" w:rsidRDefault="000434FA" w:rsidP="000434FA">
            <w:pPr>
              <w:pStyle w:val="Heading2"/>
              <w:outlineLvl w:val="1"/>
            </w:pPr>
            <w:r>
              <w:t>6</w:t>
            </w:r>
          </w:p>
        </w:tc>
        <w:tc>
          <w:tcPr>
            <w:tcW w:w="1855" w:type="dxa"/>
          </w:tcPr>
          <w:p w:rsidR="000434FA" w:rsidRPr="006E1E77" w:rsidRDefault="003827FD" w:rsidP="000434FA">
            <w:pPr>
              <w:pStyle w:val="Heading2"/>
              <w:outlineLvl w:val="1"/>
              <w:rPr>
                <w:color w:val="F79646" w:themeColor="accent6"/>
              </w:rPr>
            </w:pPr>
            <w:r w:rsidRPr="006E1E77">
              <w:rPr>
                <w:color w:val="F79646" w:themeColor="accent6"/>
              </w:rPr>
              <w:t>Feb 15</w:t>
            </w:r>
          </w:p>
        </w:tc>
        <w:tc>
          <w:tcPr>
            <w:tcW w:w="6405" w:type="dxa"/>
          </w:tcPr>
          <w:p w:rsidR="000434FA" w:rsidRPr="006E1E77" w:rsidRDefault="003827FD" w:rsidP="000434FA">
            <w:pPr>
              <w:pStyle w:val="Heading2"/>
              <w:outlineLvl w:val="1"/>
              <w:rPr>
                <w:color w:val="F79646" w:themeColor="accent6"/>
              </w:rPr>
            </w:pPr>
            <w:r w:rsidRPr="006E1E77">
              <w:rPr>
                <w:color w:val="F79646" w:themeColor="accent6"/>
              </w:rPr>
              <w:t>READING WEEK</w:t>
            </w:r>
          </w:p>
        </w:tc>
      </w:tr>
      <w:tr w:rsidR="003827FD" w:rsidTr="000434FA">
        <w:tc>
          <w:tcPr>
            <w:tcW w:w="1090" w:type="dxa"/>
          </w:tcPr>
          <w:p w:rsidR="003827FD" w:rsidRDefault="003827FD" w:rsidP="003827FD">
            <w:pPr>
              <w:pStyle w:val="Heading2"/>
              <w:outlineLvl w:val="1"/>
            </w:pPr>
            <w:r>
              <w:t>7</w:t>
            </w:r>
          </w:p>
        </w:tc>
        <w:tc>
          <w:tcPr>
            <w:tcW w:w="1855" w:type="dxa"/>
          </w:tcPr>
          <w:p w:rsidR="003827FD" w:rsidRDefault="003827FD" w:rsidP="003827FD">
            <w:pPr>
              <w:pStyle w:val="Heading2"/>
              <w:outlineLvl w:val="1"/>
            </w:pPr>
            <w:r>
              <w:t>Feb 22</w:t>
            </w:r>
          </w:p>
        </w:tc>
        <w:tc>
          <w:tcPr>
            <w:tcW w:w="6405" w:type="dxa"/>
          </w:tcPr>
          <w:p w:rsidR="003827FD" w:rsidRDefault="006E1E77" w:rsidP="003827FD">
            <w:pPr>
              <w:pStyle w:val="Heading2"/>
              <w:outlineLvl w:val="1"/>
            </w:pPr>
            <w:r>
              <w:t xml:space="preserve">More than Interviews. </w:t>
            </w:r>
            <w:r w:rsidR="003827FD" w:rsidRPr="006E1E77">
              <w:rPr>
                <w:i/>
              </w:rPr>
              <w:t xml:space="preserve">Data </w:t>
            </w:r>
            <w:r w:rsidRPr="006E1E77">
              <w:rPr>
                <w:i/>
              </w:rPr>
              <w:t xml:space="preserve">Generation and </w:t>
            </w:r>
            <w:r w:rsidR="003827FD" w:rsidRPr="006E1E77">
              <w:rPr>
                <w:i/>
              </w:rPr>
              <w:t>Collection Method</w:t>
            </w:r>
            <w:r w:rsidR="003827FD">
              <w:t>s</w:t>
            </w:r>
          </w:p>
        </w:tc>
      </w:tr>
      <w:tr w:rsidR="000434FA" w:rsidTr="000434FA">
        <w:tc>
          <w:tcPr>
            <w:tcW w:w="1090" w:type="dxa"/>
          </w:tcPr>
          <w:p w:rsidR="000434FA" w:rsidRDefault="000434FA" w:rsidP="000434FA">
            <w:pPr>
              <w:pStyle w:val="Heading2"/>
              <w:outlineLvl w:val="1"/>
            </w:pPr>
            <w:r>
              <w:t>8</w:t>
            </w:r>
          </w:p>
        </w:tc>
        <w:tc>
          <w:tcPr>
            <w:tcW w:w="1855" w:type="dxa"/>
          </w:tcPr>
          <w:p w:rsidR="000434FA" w:rsidRDefault="003827FD" w:rsidP="000434FA">
            <w:pPr>
              <w:pStyle w:val="Heading2"/>
              <w:outlineLvl w:val="1"/>
            </w:pPr>
            <w:r>
              <w:t>March 1</w:t>
            </w:r>
          </w:p>
        </w:tc>
        <w:tc>
          <w:tcPr>
            <w:tcW w:w="6405" w:type="dxa"/>
          </w:tcPr>
          <w:p w:rsidR="000434FA" w:rsidRDefault="006E1E77" w:rsidP="00FE1455">
            <w:pPr>
              <w:pStyle w:val="Heading2"/>
              <w:outlineLvl w:val="1"/>
            </w:pPr>
            <w:r>
              <w:t xml:space="preserve">I have data, now what? </w:t>
            </w:r>
            <w:r w:rsidR="00865AA3" w:rsidRPr="006E1E77">
              <w:rPr>
                <w:i/>
              </w:rPr>
              <w:t>The</w:t>
            </w:r>
            <w:r w:rsidR="00FE1455" w:rsidRPr="006E1E77">
              <w:rPr>
                <w:i/>
              </w:rPr>
              <w:t xml:space="preserve"> Qualitative Analytical Process I</w:t>
            </w:r>
          </w:p>
        </w:tc>
      </w:tr>
      <w:tr w:rsidR="000434FA" w:rsidTr="000434FA">
        <w:tc>
          <w:tcPr>
            <w:tcW w:w="1090" w:type="dxa"/>
          </w:tcPr>
          <w:p w:rsidR="000434FA" w:rsidRDefault="000434FA" w:rsidP="000434FA">
            <w:pPr>
              <w:pStyle w:val="Heading2"/>
              <w:outlineLvl w:val="1"/>
            </w:pPr>
            <w:r>
              <w:t>9</w:t>
            </w:r>
          </w:p>
        </w:tc>
        <w:tc>
          <w:tcPr>
            <w:tcW w:w="1855" w:type="dxa"/>
          </w:tcPr>
          <w:p w:rsidR="000434FA" w:rsidRDefault="003827FD" w:rsidP="000434FA">
            <w:pPr>
              <w:pStyle w:val="Heading2"/>
              <w:outlineLvl w:val="1"/>
            </w:pPr>
            <w:r>
              <w:t>March 8</w:t>
            </w:r>
          </w:p>
        </w:tc>
        <w:tc>
          <w:tcPr>
            <w:tcW w:w="6405" w:type="dxa"/>
          </w:tcPr>
          <w:p w:rsidR="000434FA" w:rsidRDefault="006E1E77" w:rsidP="006E1E77">
            <w:pPr>
              <w:pStyle w:val="Heading2"/>
              <w:outlineLvl w:val="1"/>
            </w:pPr>
            <w:r>
              <w:t xml:space="preserve">Interpretation, co-construction, or summary? </w:t>
            </w:r>
            <w:r w:rsidR="00FE1455" w:rsidRPr="006E1E77">
              <w:rPr>
                <w:i/>
              </w:rPr>
              <w:t>Analytical Process II</w:t>
            </w:r>
          </w:p>
        </w:tc>
      </w:tr>
      <w:tr w:rsidR="00FE1455" w:rsidTr="000434FA">
        <w:tc>
          <w:tcPr>
            <w:tcW w:w="1090" w:type="dxa"/>
          </w:tcPr>
          <w:p w:rsidR="00FE1455" w:rsidRDefault="00FE1455" w:rsidP="00FE1455">
            <w:pPr>
              <w:pStyle w:val="Heading2"/>
              <w:outlineLvl w:val="1"/>
            </w:pPr>
            <w:r>
              <w:t>10</w:t>
            </w:r>
          </w:p>
        </w:tc>
        <w:tc>
          <w:tcPr>
            <w:tcW w:w="1855" w:type="dxa"/>
          </w:tcPr>
          <w:p w:rsidR="00FE1455" w:rsidRDefault="003827FD" w:rsidP="00FE1455">
            <w:pPr>
              <w:pStyle w:val="Heading2"/>
              <w:outlineLvl w:val="1"/>
            </w:pPr>
            <w:r>
              <w:t>March 15</w:t>
            </w:r>
          </w:p>
        </w:tc>
        <w:tc>
          <w:tcPr>
            <w:tcW w:w="6405" w:type="dxa"/>
          </w:tcPr>
          <w:p w:rsidR="00FE1455" w:rsidRDefault="006E1E77" w:rsidP="00FE1455">
            <w:pPr>
              <w:pStyle w:val="Heading2"/>
              <w:outlineLvl w:val="1"/>
            </w:pPr>
            <w:r>
              <w:t xml:space="preserve">Walking the Wire. </w:t>
            </w:r>
            <w:r w:rsidR="00FE1455" w:rsidRPr="006E1E77">
              <w:rPr>
                <w:i/>
              </w:rPr>
              <w:t>Ethics of Qualitative Research and Power Relations</w:t>
            </w:r>
          </w:p>
        </w:tc>
      </w:tr>
      <w:tr w:rsidR="003827FD" w:rsidTr="000434FA">
        <w:tc>
          <w:tcPr>
            <w:tcW w:w="1090" w:type="dxa"/>
          </w:tcPr>
          <w:p w:rsidR="003827FD" w:rsidRDefault="003827FD" w:rsidP="003827FD">
            <w:pPr>
              <w:pStyle w:val="Heading2"/>
              <w:outlineLvl w:val="1"/>
            </w:pPr>
            <w:r>
              <w:t>11</w:t>
            </w:r>
          </w:p>
        </w:tc>
        <w:tc>
          <w:tcPr>
            <w:tcW w:w="1855" w:type="dxa"/>
          </w:tcPr>
          <w:p w:rsidR="003827FD" w:rsidRDefault="003827FD" w:rsidP="003827FD">
            <w:pPr>
              <w:pStyle w:val="Heading2"/>
              <w:outlineLvl w:val="1"/>
            </w:pPr>
            <w:r>
              <w:t>March 22</w:t>
            </w:r>
          </w:p>
        </w:tc>
        <w:tc>
          <w:tcPr>
            <w:tcW w:w="6405" w:type="dxa"/>
          </w:tcPr>
          <w:p w:rsidR="003827FD" w:rsidRDefault="006E1E77" w:rsidP="006E1E77">
            <w:pPr>
              <w:pStyle w:val="Heading2"/>
              <w:outlineLvl w:val="1"/>
            </w:pPr>
            <w:r>
              <w:t xml:space="preserve">Good, bad, ugly, or non of those. </w:t>
            </w:r>
            <w:r w:rsidR="003827FD" w:rsidRPr="006E1E77">
              <w:rPr>
                <w:i/>
              </w:rPr>
              <w:t>Critically Reading Qualitative Research</w:t>
            </w:r>
          </w:p>
        </w:tc>
      </w:tr>
      <w:tr w:rsidR="003827FD" w:rsidTr="000434FA">
        <w:tc>
          <w:tcPr>
            <w:tcW w:w="1090" w:type="dxa"/>
          </w:tcPr>
          <w:p w:rsidR="003827FD" w:rsidRDefault="003827FD" w:rsidP="003827FD">
            <w:pPr>
              <w:pStyle w:val="Heading2"/>
              <w:outlineLvl w:val="1"/>
            </w:pPr>
            <w:r>
              <w:t>12</w:t>
            </w:r>
          </w:p>
        </w:tc>
        <w:tc>
          <w:tcPr>
            <w:tcW w:w="1855" w:type="dxa"/>
          </w:tcPr>
          <w:p w:rsidR="003827FD" w:rsidRDefault="003827FD" w:rsidP="003827FD">
            <w:pPr>
              <w:pStyle w:val="Heading2"/>
              <w:outlineLvl w:val="1"/>
            </w:pPr>
            <w:r>
              <w:t>March 29</w:t>
            </w:r>
          </w:p>
        </w:tc>
        <w:tc>
          <w:tcPr>
            <w:tcW w:w="6405" w:type="dxa"/>
          </w:tcPr>
          <w:p w:rsidR="003827FD" w:rsidRDefault="006E1E77" w:rsidP="003827FD">
            <w:pPr>
              <w:pStyle w:val="Heading2"/>
              <w:outlineLvl w:val="1"/>
            </w:pPr>
            <w:r>
              <w:t xml:space="preserve">Knowledge, vision, and structure. </w:t>
            </w:r>
            <w:r w:rsidR="003827FD" w:rsidRPr="006E1E77">
              <w:rPr>
                <w:i/>
              </w:rPr>
              <w:t>Writing Qualitative Research Proposals l</w:t>
            </w:r>
          </w:p>
        </w:tc>
      </w:tr>
      <w:tr w:rsidR="003827FD" w:rsidTr="000434FA">
        <w:tc>
          <w:tcPr>
            <w:tcW w:w="1090" w:type="dxa"/>
          </w:tcPr>
          <w:p w:rsidR="003827FD" w:rsidRDefault="003827FD" w:rsidP="003827FD">
            <w:pPr>
              <w:pStyle w:val="Heading2"/>
              <w:outlineLvl w:val="1"/>
            </w:pPr>
            <w:r>
              <w:t>13</w:t>
            </w:r>
          </w:p>
        </w:tc>
        <w:tc>
          <w:tcPr>
            <w:tcW w:w="1855" w:type="dxa"/>
          </w:tcPr>
          <w:p w:rsidR="003827FD" w:rsidRDefault="003827FD" w:rsidP="003827FD">
            <w:pPr>
              <w:pStyle w:val="Heading2"/>
              <w:outlineLvl w:val="1"/>
            </w:pPr>
            <w:r>
              <w:t>April 5</w:t>
            </w:r>
          </w:p>
        </w:tc>
        <w:tc>
          <w:tcPr>
            <w:tcW w:w="6405" w:type="dxa"/>
          </w:tcPr>
          <w:p w:rsidR="003827FD" w:rsidRDefault="006E1E77" w:rsidP="003827FD">
            <w:pPr>
              <w:pStyle w:val="Heading2"/>
              <w:outlineLvl w:val="1"/>
            </w:pPr>
            <w:r>
              <w:t xml:space="preserve">Build from your results. </w:t>
            </w:r>
            <w:r w:rsidR="003827FD" w:rsidRPr="006E1E77">
              <w:rPr>
                <w:i/>
              </w:rPr>
              <w:t>Writing Qualitative Research Proposals ll and KT Strategies</w:t>
            </w:r>
          </w:p>
        </w:tc>
      </w:tr>
    </w:tbl>
    <w:p w:rsidR="00DE0534" w:rsidRDefault="00DE0534" w:rsidP="000D2960">
      <w:pPr>
        <w:pStyle w:val="Heading2"/>
      </w:pPr>
    </w:p>
    <w:p w:rsidR="009B7B2D" w:rsidRPr="00DE0534" w:rsidRDefault="00DE0534" w:rsidP="00DE0534">
      <w:pPr>
        <w:rPr>
          <w:rFonts w:asciiTheme="majorHAnsi" w:eastAsiaTheme="majorEastAsia" w:hAnsiTheme="majorHAnsi" w:cstheme="majorBidi"/>
          <w:b/>
          <w:bCs/>
          <w:color w:val="4F81BD" w:themeColor="accent1"/>
          <w:sz w:val="26"/>
          <w:szCs w:val="26"/>
        </w:rPr>
      </w:pPr>
      <w:r>
        <w:br w:type="page"/>
      </w:r>
    </w:p>
    <w:p w:rsidR="0066669F" w:rsidRDefault="0066669F" w:rsidP="0066669F">
      <w:pPr>
        <w:pStyle w:val="Heading2"/>
      </w:pPr>
      <w:r>
        <w:lastRenderedPageBreak/>
        <w:t>Suggested Readings</w:t>
      </w:r>
    </w:p>
    <w:p w:rsidR="0066669F" w:rsidRDefault="0066669F" w:rsidP="0066669F">
      <w:pPr>
        <w:pStyle w:val="Default"/>
        <w:rPr>
          <w:color w:val="auto"/>
          <w:sz w:val="22"/>
          <w:szCs w:val="22"/>
        </w:rPr>
      </w:pPr>
      <w:r>
        <w:rPr>
          <w:color w:val="auto"/>
          <w:sz w:val="22"/>
          <w:szCs w:val="22"/>
        </w:rPr>
        <w:t xml:space="preserve">Readings are available electronically through </w:t>
      </w:r>
      <w:r w:rsidR="00DB0575">
        <w:rPr>
          <w:color w:val="auto"/>
          <w:sz w:val="22"/>
          <w:szCs w:val="22"/>
        </w:rPr>
        <w:t xml:space="preserve">the </w:t>
      </w:r>
      <w:r>
        <w:rPr>
          <w:color w:val="auto"/>
          <w:sz w:val="22"/>
          <w:szCs w:val="22"/>
        </w:rPr>
        <w:t xml:space="preserve">University of Toronto Library or on Quercus. </w:t>
      </w:r>
      <w:r w:rsidR="00431771">
        <w:rPr>
          <w:color w:val="auto"/>
          <w:sz w:val="22"/>
          <w:szCs w:val="22"/>
          <w:u w:val="single"/>
        </w:rPr>
        <w:t xml:space="preserve">Additional </w:t>
      </w:r>
      <w:r w:rsidRPr="00431771">
        <w:rPr>
          <w:color w:val="auto"/>
          <w:sz w:val="22"/>
          <w:szCs w:val="22"/>
          <w:u w:val="single"/>
        </w:rPr>
        <w:t xml:space="preserve">readings and </w:t>
      </w:r>
      <w:r w:rsidR="00431771" w:rsidRPr="00431771">
        <w:rPr>
          <w:color w:val="auto"/>
          <w:sz w:val="22"/>
          <w:szCs w:val="22"/>
          <w:u w:val="single"/>
        </w:rPr>
        <w:t xml:space="preserve">visual </w:t>
      </w:r>
      <w:r w:rsidRPr="00431771">
        <w:rPr>
          <w:color w:val="auto"/>
          <w:sz w:val="22"/>
          <w:szCs w:val="22"/>
          <w:u w:val="single"/>
        </w:rPr>
        <w:t>material may be announced in class</w:t>
      </w:r>
      <w:r w:rsidR="00FE1455">
        <w:rPr>
          <w:color w:val="auto"/>
          <w:sz w:val="22"/>
          <w:szCs w:val="22"/>
          <w:u w:val="single"/>
        </w:rPr>
        <w:t xml:space="preserve"> or in Quercus during the course</w:t>
      </w:r>
      <w:r>
        <w:rPr>
          <w:color w:val="auto"/>
          <w:sz w:val="22"/>
          <w:szCs w:val="22"/>
        </w:rPr>
        <w:t xml:space="preserve">. </w:t>
      </w:r>
    </w:p>
    <w:p w:rsidR="00E13CF0" w:rsidRDefault="00E13CF0" w:rsidP="0066669F">
      <w:pPr>
        <w:pStyle w:val="Default"/>
        <w:rPr>
          <w:color w:val="auto"/>
          <w:sz w:val="22"/>
          <w:szCs w:val="22"/>
        </w:rPr>
      </w:pPr>
      <w:r>
        <w:rPr>
          <w:color w:val="auto"/>
          <w:sz w:val="22"/>
          <w:szCs w:val="22"/>
        </w:rPr>
        <w:t xml:space="preserve">The </w:t>
      </w:r>
      <w:r w:rsidRPr="00F643B4">
        <w:rPr>
          <w:color w:val="auto"/>
          <w:sz w:val="22"/>
          <w:szCs w:val="22"/>
          <w:u w:val="single"/>
        </w:rPr>
        <w:t>following readings are suggested readings; required readings</w:t>
      </w:r>
      <w:r w:rsidR="00F643B4" w:rsidRPr="00F643B4">
        <w:rPr>
          <w:color w:val="auto"/>
          <w:sz w:val="22"/>
          <w:szCs w:val="22"/>
          <w:u w:val="single"/>
        </w:rPr>
        <w:t xml:space="preserve"> (and visual resources)</w:t>
      </w:r>
      <w:r w:rsidRPr="00F643B4">
        <w:rPr>
          <w:color w:val="auto"/>
          <w:sz w:val="22"/>
          <w:szCs w:val="22"/>
          <w:u w:val="single"/>
        </w:rPr>
        <w:t xml:space="preserve"> </w:t>
      </w:r>
      <w:r w:rsidR="00FE1455">
        <w:rPr>
          <w:color w:val="auto"/>
          <w:sz w:val="22"/>
          <w:szCs w:val="22"/>
          <w:u w:val="single"/>
        </w:rPr>
        <w:t>are highlighted in bold</w:t>
      </w:r>
      <w:r>
        <w:rPr>
          <w:color w:val="auto"/>
          <w:sz w:val="22"/>
          <w:szCs w:val="22"/>
        </w:rPr>
        <w:t>.</w:t>
      </w:r>
    </w:p>
    <w:p w:rsidR="0066669F" w:rsidRDefault="0066669F" w:rsidP="0066669F">
      <w:pPr>
        <w:pStyle w:val="Heading3"/>
        <w:tabs>
          <w:tab w:val="left" w:pos="8484"/>
        </w:tabs>
      </w:pPr>
    </w:p>
    <w:p w:rsidR="0066669F" w:rsidRPr="00420DB9" w:rsidRDefault="0066669F" w:rsidP="00420DB9">
      <w:pPr>
        <w:pStyle w:val="Heading3"/>
        <w:tabs>
          <w:tab w:val="left" w:pos="1608"/>
        </w:tabs>
        <w:spacing w:before="0" w:after="120" w:line="240" w:lineRule="auto"/>
        <w:rPr>
          <w:rFonts w:ascii="Times New Roman" w:hAnsi="Times New Roman" w:cs="Times New Roman"/>
        </w:rPr>
      </w:pPr>
      <w:r w:rsidRPr="00420DB9">
        <w:rPr>
          <w:rFonts w:ascii="Times New Roman" w:hAnsi="Times New Roman" w:cs="Times New Roman"/>
        </w:rPr>
        <w:t>Week 1. Introduction</w:t>
      </w:r>
    </w:p>
    <w:p w:rsidR="001D4189" w:rsidRPr="00DE0534" w:rsidRDefault="001D4189" w:rsidP="0013268F">
      <w:pPr>
        <w:spacing w:after="120" w:line="240" w:lineRule="auto"/>
        <w:rPr>
          <w:rFonts w:cs="Times New Roman"/>
          <w:b/>
          <w:noProof/>
        </w:rPr>
      </w:pPr>
      <w:r w:rsidRPr="00DE0534">
        <w:rPr>
          <w:rFonts w:cs="Times New Roman"/>
          <w:b/>
          <w:shd w:val="clear" w:color="auto" w:fill="FFFFFF"/>
        </w:rPr>
        <w:t>Teti, M., Schatz, E., &amp; Liebenberg, L. (2020). Methods in the Time of COVID-19: The Vital</w:t>
      </w:r>
      <w:r w:rsidR="00DE0534" w:rsidRPr="00DE0534">
        <w:rPr>
          <w:rFonts w:cs="Times New Roman"/>
          <w:b/>
          <w:shd w:val="clear" w:color="auto" w:fill="FFFFFF"/>
        </w:rPr>
        <w:t xml:space="preserve"> Role of Qualitative Inquiries. </w:t>
      </w:r>
      <w:r w:rsidRPr="00DE0534">
        <w:rPr>
          <w:rFonts w:cs="Times New Roman"/>
          <w:b/>
          <w:i/>
          <w:iCs/>
          <w:shd w:val="clear" w:color="auto" w:fill="FFFFFF"/>
        </w:rPr>
        <w:t>Inter</w:t>
      </w:r>
      <w:r w:rsidR="00A55619" w:rsidRPr="00DE0534">
        <w:rPr>
          <w:rFonts w:cs="Times New Roman"/>
          <w:b/>
          <w:i/>
          <w:iCs/>
          <w:shd w:val="clear" w:color="auto" w:fill="FFFFFF"/>
        </w:rPr>
        <w:t>national Journal of Qualitative Me</w:t>
      </w:r>
      <w:r w:rsidRPr="00DE0534">
        <w:rPr>
          <w:rFonts w:cs="Times New Roman"/>
          <w:b/>
          <w:i/>
          <w:iCs/>
          <w:shd w:val="clear" w:color="auto" w:fill="FFFFFF"/>
        </w:rPr>
        <w:t>thods</w:t>
      </w:r>
      <w:r w:rsidRPr="00DE0534">
        <w:rPr>
          <w:rFonts w:cs="Times New Roman"/>
          <w:b/>
          <w:shd w:val="clear" w:color="auto" w:fill="FFFFFF"/>
        </w:rPr>
        <w:t>. </w:t>
      </w:r>
      <w:hyperlink r:id="rId27" w:history="1">
        <w:r w:rsidRPr="00DE0534">
          <w:rPr>
            <w:rStyle w:val="Hyperlink"/>
            <w:rFonts w:cs="Times New Roman"/>
            <w:b/>
            <w:color w:val="auto"/>
            <w:shd w:val="clear" w:color="auto" w:fill="FFFFFF"/>
          </w:rPr>
          <w:t>https://doi.org/10.1177/1609406920920962</w:t>
        </w:r>
      </w:hyperlink>
    </w:p>
    <w:p w:rsidR="00A55619" w:rsidRPr="0013268F" w:rsidRDefault="00A55619" w:rsidP="00A55619">
      <w:pPr>
        <w:spacing w:after="120" w:line="240" w:lineRule="auto"/>
        <w:rPr>
          <w:rStyle w:val="Hyperlink"/>
          <w:rFonts w:cs="Times New Roman"/>
          <w:b/>
          <w:noProof/>
        </w:rPr>
      </w:pPr>
      <w:r w:rsidRPr="0013268F">
        <w:rPr>
          <w:rFonts w:cs="Times New Roman"/>
          <w:b/>
          <w:noProof/>
        </w:rPr>
        <w:t xml:space="preserve">Charmaz, K. (2004).  Premises, Principles, and Practices in Qualitative Research: Revisiting the Foundations.  </w:t>
      </w:r>
      <w:r w:rsidRPr="0013268F">
        <w:rPr>
          <w:rFonts w:cs="Times New Roman"/>
          <w:b/>
          <w:i/>
          <w:noProof/>
        </w:rPr>
        <w:t>Qualitative Health Research</w:t>
      </w:r>
      <w:r w:rsidRPr="0013268F">
        <w:rPr>
          <w:rFonts w:cs="Times New Roman"/>
          <w:b/>
          <w:noProof/>
        </w:rPr>
        <w:t xml:space="preserve">, 14 (7), 976-993. </w:t>
      </w:r>
      <w:hyperlink r:id="rId28" w:history="1">
        <w:r w:rsidRPr="0013268F">
          <w:rPr>
            <w:rStyle w:val="Hyperlink"/>
            <w:rFonts w:cs="Times New Roman"/>
            <w:b/>
            <w:noProof/>
          </w:rPr>
          <w:t>http://resolver.scholarsportal.info.myaccess.library.utoronto.ca/resolve/10497323/v14i0007/976_ppapiqrrtf</w:t>
        </w:r>
      </w:hyperlink>
    </w:p>
    <w:p w:rsidR="00A55619" w:rsidRPr="0013268F" w:rsidRDefault="00A55619" w:rsidP="00A55619">
      <w:pPr>
        <w:spacing w:after="120" w:line="240" w:lineRule="auto"/>
        <w:rPr>
          <w:rFonts w:cs="Times New Roman"/>
          <w:b/>
          <w:noProof/>
        </w:rPr>
      </w:pPr>
      <w:r w:rsidRPr="0013268F">
        <w:rPr>
          <w:rFonts w:cs="Times New Roman"/>
          <w:b/>
          <w:noProof/>
        </w:rPr>
        <w:t>Reimer-Kirkham, S. &amp; Anderson, J.M. (2010). The advocate-analyst dialectic in critical and post-colonial feminist research. Advances in Nursing Science, 33 (3): 196-205.</w:t>
      </w:r>
    </w:p>
    <w:p w:rsidR="002A7537" w:rsidRPr="00420DB9" w:rsidRDefault="002A7537" w:rsidP="00420DB9">
      <w:pPr>
        <w:spacing w:after="120" w:line="240" w:lineRule="auto"/>
        <w:ind w:right="150"/>
        <w:rPr>
          <w:rFonts w:cs="Times New Roman"/>
        </w:rPr>
      </w:pPr>
      <w:r w:rsidRPr="00420DB9">
        <w:rPr>
          <w:rFonts w:cs="Times New Roman"/>
        </w:rPr>
        <w:t xml:space="preserve">Kuper A, Reeves S, &amp; Levinson, W. (2008). An introduction to reading and appraising qualitative research. </w:t>
      </w:r>
      <w:r w:rsidRPr="00420DB9">
        <w:rPr>
          <w:rFonts w:cs="Times New Roman"/>
          <w:i/>
        </w:rPr>
        <w:t>BMJ: British Medical Journal,</w:t>
      </w:r>
      <w:r w:rsidRPr="00420DB9">
        <w:rPr>
          <w:rFonts w:cs="Times New Roman"/>
        </w:rPr>
        <w:t xml:space="preserve"> 337. </w:t>
      </w:r>
      <w:hyperlink r:id="rId29" w:history="1">
        <w:r w:rsidRPr="00420DB9">
          <w:rPr>
            <w:rStyle w:val="Hyperlink"/>
            <w:rFonts w:cs="Times New Roman"/>
          </w:rPr>
          <w:t>https://dx-doi-org.myaccess.library.utoronto.ca/10.1136/bmj.a288</w:t>
        </w:r>
      </w:hyperlink>
      <w:r w:rsidRPr="00420DB9">
        <w:rPr>
          <w:rFonts w:cs="Times New Roman"/>
        </w:rPr>
        <w:t xml:space="preserve">  </w:t>
      </w:r>
    </w:p>
    <w:p w:rsidR="002A7537" w:rsidRPr="00420DB9" w:rsidRDefault="002A7537" w:rsidP="00420DB9">
      <w:pPr>
        <w:widowControl w:val="0"/>
        <w:spacing w:after="120" w:line="240" w:lineRule="auto"/>
        <w:rPr>
          <w:rStyle w:val="viewmarctags"/>
          <w:rFonts w:cs="Times New Roman"/>
          <w:bCs/>
        </w:rPr>
      </w:pPr>
      <w:r w:rsidRPr="00420DB9">
        <w:rPr>
          <w:rStyle w:val="viewmarctags"/>
          <w:rFonts w:cs="Times New Roman"/>
          <w:bCs/>
        </w:rPr>
        <w:t xml:space="preserve">Mehra, B. (2002). Bias in Qualitative Research: Voices from an Online Classroom. </w:t>
      </w:r>
      <w:r w:rsidRPr="00420DB9">
        <w:rPr>
          <w:rStyle w:val="viewmarctags"/>
          <w:rFonts w:cs="Times New Roman"/>
          <w:bCs/>
          <w:i/>
        </w:rPr>
        <w:t xml:space="preserve">The Qualitative Report, </w:t>
      </w:r>
      <w:r w:rsidRPr="00420DB9">
        <w:rPr>
          <w:rStyle w:val="viewmarctags"/>
          <w:rFonts w:cs="Times New Roman"/>
          <w:bCs/>
        </w:rPr>
        <w:t xml:space="preserve">7(1), 1-19. Retrieved from </w:t>
      </w:r>
      <w:hyperlink r:id="rId30" w:history="1">
        <w:r w:rsidRPr="00420DB9">
          <w:rPr>
            <w:rStyle w:val="Hyperlink"/>
            <w:rFonts w:cs="Times New Roman"/>
            <w:bCs/>
          </w:rPr>
          <w:t>http://nsuworks.nova.edu/tqr/vol7/iss1/2</w:t>
        </w:r>
      </w:hyperlink>
      <w:r w:rsidRPr="00420DB9">
        <w:rPr>
          <w:rStyle w:val="viewmarctags"/>
          <w:rFonts w:cs="Times New Roman"/>
          <w:bCs/>
        </w:rPr>
        <w:t xml:space="preserve"> </w:t>
      </w:r>
    </w:p>
    <w:p w:rsidR="0013268F" w:rsidRDefault="0013268F" w:rsidP="00420DB9">
      <w:pPr>
        <w:pStyle w:val="Heading3"/>
        <w:tabs>
          <w:tab w:val="left" w:pos="8484"/>
        </w:tabs>
        <w:spacing w:before="0" w:after="120" w:line="240" w:lineRule="auto"/>
        <w:rPr>
          <w:rFonts w:ascii="Times New Roman" w:hAnsi="Times New Roman" w:cs="Times New Roman"/>
        </w:rPr>
      </w:pPr>
    </w:p>
    <w:p w:rsidR="0066669F" w:rsidRPr="00420DB9" w:rsidRDefault="0066669F" w:rsidP="00420DB9">
      <w:pPr>
        <w:pStyle w:val="Heading3"/>
        <w:tabs>
          <w:tab w:val="left" w:pos="8484"/>
        </w:tabs>
        <w:spacing w:before="0" w:after="120" w:line="240" w:lineRule="auto"/>
        <w:rPr>
          <w:rFonts w:ascii="Times New Roman" w:hAnsi="Times New Roman" w:cs="Times New Roman"/>
        </w:rPr>
      </w:pPr>
      <w:r w:rsidRPr="00420DB9">
        <w:rPr>
          <w:rFonts w:ascii="Times New Roman" w:hAnsi="Times New Roman" w:cs="Times New Roman"/>
        </w:rPr>
        <w:t xml:space="preserve">Week 2. </w:t>
      </w:r>
      <w:r w:rsidR="0013268F">
        <w:rPr>
          <w:rFonts w:ascii="Times New Roman" w:hAnsi="Times New Roman" w:cs="Times New Roman"/>
        </w:rPr>
        <w:t>Ontology, Epistemology, and Methodology</w:t>
      </w:r>
      <w:r w:rsidRPr="00420DB9">
        <w:rPr>
          <w:rFonts w:ascii="Times New Roman" w:hAnsi="Times New Roman" w:cs="Times New Roman"/>
        </w:rPr>
        <w:tab/>
        <w:t>\</w:t>
      </w:r>
    </w:p>
    <w:p w:rsidR="00431771" w:rsidRPr="00DE0534" w:rsidRDefault="00431771" w:rsidP="00DE0534">
      <w:pPr>
        <w:rPr>
          <w:b/>
        </w:rPr>
      </w:pPr>
      <w:r w:rsidRPr="00DE0534">
        <w:rPr>
          <w:b/>
        </w:rPr>
        <w:t xml:space="preserve">Carter, S. M., &amp; Little, M. (2007). Justifying Knowledge, Justifying Method, Taking Action: Epistemologies, Methodologies, and Methods in Qualitative Research. </w:t>
      </w:r>
      <w:r w:rsidRPr="00DE0534">
        <w:rPr>
          <w:b/>
          <w:i/>
          <w:iCs/>
        </w:rPr>
        <w:t>Qualitative Health Research, 17</w:t>
      </w:r>
      <w:r w:rsidRPr="00DE0534">
        <w:rPr>
          <w:b/>
        </w:rPr>
        <w:t xml:space="preserve">, 1316-1328. </w:t>
      </w:r>
      <w:hyperlink r:id="rId31" w:history="1">
        <w:r w:rsidRPr="00DE0534">
          <w:rPr>
            <w:b/>
            <w:color w:val="0000FF"/>
          </w:rPr>
          <w:t>http://simplelink.library.utoronto.ca/url.cfm/292119</w:t>
        </w:r>
      </w:hyperlink>
      <w:r w:rsidRPr="00DE0534">
        <w:rPr>
          <w:b/>
        </w:rPr>
        <w:t xml:space="preserve"> </w:t>
      </w:r>
    </w:p>
    <w:p w:rsidR="00431771" w:rsidRPr="0013268F" w:rsidRDefault="00431771" w:rsidP="00420DB9">
      <w:pPr>
        <w:pStyle w:val="Default"/>
        <w:spacing w:after="120"/>
        <w:rPr>
          <w:rFonts w:ascii="Times New Roman" w:hAnsi="Times New Roman" w:cs="Times New Roman"/>
          <w:b/>
          <w:color w:val="auto"/>
          <w:sz w:val="22"/>
          <w:szCs w:val="22"/>
        </w:rPr>
      </w:pPr>
      <w:r w:rsidRPr="0013268F">
        <w:rPr>
          <w:rFonts w:ascii="Times New Roman" w:hAnsi="Times New Roman" w:cs="Times New Roman"/>
          <w:b/>
          <w:color w:val="auto"/>
          <w:sz w:val="22"/>
          <w:szCs w:val="22"/>
        </w:rPr>
        <w:t xml:space="preserve">Chamberlain, K. (2015). Epistemology and Qualitative Research. Chapter 2. In Rohleder, P., &amp; Lyons, A. C. (Eds.). (2015). </w:t>
      </w:r>
      <w:r w:rsidRPr="0013268F">
        <w:rPr>
          <w:rFonts w:ascii="Times New Roman" w:hAnsi="Times New Roman" w:cs="Times New Roman"/>
          <w:b/>
          <w:i/>
          <w:iCs/>
          <w:color w:val="auto"/>
          <w:sz w:val="22"/>
          <w:szCs w:val="22"/>
        </w:rPr>
        <w:t>Qualitative Research in Clinical and Health Psychology</w:t>
      </w:r>
      <w:r w:rsidRPr="0013268F">
        <w:rPr>
          <w:rFonts w:ascii="Times New Roman" w:hAnsi="Times New Roman" w:cs="Times New Roman"/>
          <w:b/>
          <w:color w:val="auto"/>
          <w:sz w:val="22"/>
          <w:szCs w:val="22"/>
        </w:rPr>
        <w:t xml:space="preserve">. New York, NY : Palgrave Macmillan, pp. 9-28. </w:t>
      </w:r>
    </w:p>
    <w:p w:rsidR="0066669F" w:rsidRPr="00420DB9" w:rsidRDefault="0066669F" w:rsidP="00420DB9">
      <w:pPr>
        <w:widowControl w:val="0"/>
        <w:spacing w:after="120" w:line="240" w:lineRule="auto"/>
        <w:rPr>
          <w:rStyle w:val="viewmarctags"/>
          <w:rFonts w:cs="Times New Roman"/>
          <w:bCs/>
        </w:rPr>
      </w:pPr>
      <w:r w:rsidRPr="00420DB9">
        <w:rPr>
          <w:rStyle w:val="viewmarctags"/>
          <w:rFonts w:cs="Times New Roman"/>
          <w:bCs/>
        </w:rPr>
        <w:t xml:space="preserve">Hesse-Biber, S.N. &amp; Leavy, P. (2011). Chapter 1: </w:t>
      </w:r>
      <w:r w:rsidR="0013268F">
        <w:rPr>
          <w:rStyle w:val="viewmarctags"/>
          <w:rFonts w:cs="Times New Roman"/>
          <w:bCs/>
        </w:rPr>
        <w:t>The Craft of Qualitative Research</w:t>
      </w:r>
      <w:r w:rsidRPr="00420DB9">
        <w:rPr>
          <w:rStyle w:val="viewmarctags"/>
          <w:rFonts w:cs="Times New Roman"/>
          <w:bCs/>
        </w:rPr>
        <w:t xml:space="preserve">. In </w:t>
      </w:r>
      <w:r w:rsidRPr="00420DB9">
        <w:rPr>
          <w:rStyle w:val="viewmarctags"/>
          <w:rFonts w:cs="Times New Roman"/>
          <w:bCs/>
          <w:i/>
        </w:rPr>
        <w:t xml:space="preserve">The Practice of Qualitative Research. </w:t>
      </w:r>
      <w:r w:rsidRPr="00420DB9">
        <w:rPr>
          <w:rStyle w:val="viewmarctags"/>
          <w:rFonts w:cs="Times New Roman"/>
          <w:bCs/>
        </w:rPr>
        <w:t>Thousand Oaks: Sage. (PDF).</w:t>
      </w:r>
    </w:p>
    <w:p w:rsidR="00431771" w:rsidRPr="00420DB9" w:rsidRDefault="00431771" w:rsidP="00420DB9">
      <w:pPr>
        <w:pStyle w:val="Heading3"/>
        <w:tabs>
          <w:tab w:val="left" w:pos="6348"/>
        </w:tabs>
        <w:spacing w:before="0" w:after="120" w:line="240" w:lineRule="auto"/>
        <w:rPr>
          <w:rFonts w:ascii="Times New Roman" w:hAnsi="Times New Roman" w:cs="Times New Roman"/>
        </w:rPr>
      </w:pPr>
    </w:p>
    <w:p w:rsidR="0013268F" w:rsidRDefault="0066669F" w:rsidP="0013268F">
      <w:pPr>
        <w:pStyle w:val="Heading3"/>
      </w:pPr>
      <w:r w:rsidRPr="00420DB9">
        <w:rPr>
          <w:rFonts w:ascii="Times New Roman" w:hAnsi="Times New Roman" w:cs="Times New Roman"/>
        </w:rPr>
        <w:t xml:space="preserve">Week 3. </w:t>
      </w:r>
      <w:r w:rsidR="0013268F">
        <w:t>Thinking Qualitatively: Research Problems and Questions</w:t>
      </w:r>
    </w:p>
    <w:p w:rsidR="0013268F" w:rsidRPr="0013268F" w:rsidRDefault="0013268F" w:rsidP="0013268F">
      <w:pPr>
        <w:widowControl w:val="0"/>
        <w:spacing w:after="120" w:line="240" w:lineRule="auto"/>
        <w:rPr>
          <w:rStyle w:val="viewmarctags"/>
          <w:rFonts w:cs="Times New Roman"/>
          <w:b/>
          <w:bCs/>
        </w:rPr>
      </w:pPr>
      <w:bookmarkStart w:id="1" w:name="OLE_LINK13"/>
      <w:r w:rsidRPr="0013268F">
        <w:rPr>
          <w:rStyle w:val="viewmarctags"/>
          <w:rFonts w:cs="Times New Roman"/>
          <w:b/>
          <w:bCs/>
        </w:rPr>
        <w:t xml:space="preserve">Agee, J. (2009). Developing qualitative research questions: a reflective process. </w:t>
      </w:r>
      <w:r w:rsidRPr="0013268F">
        <w:rPr>
          <w:rStyle w:val="viewmarctags"/>
          <w:rFonts w:cs="Times New Roman"/>
          <w:b/>
          <w:bCs/>
          <w:i/>
        </w:rPr>
        <w:t>International Journal of Qualitative Studies in Education, 22</w:t>
      </w:r>
      <w:r w:rsidRPr="0013268F">
        <w:rPr>
          <w:rStyle w:val="viewmarctags"/>
          <w:rFonts w:cs="Times New Roman"/>
          <w:b/>
          <w:bCs/>
        </w:rPr>
        <w:t xml:space="preserve"> (4), 431-447. </w:t>
      </w:r>
      <w:hyperlink r:id="rId32" w:history="1">
        <w:r w:rsidRPr="0013268F">
          <w:rPr>
            <w:rStyle w:val="Hyperlink"/>
            <w:rFonts w:cs="Times New Roman"/>
            <w:b/>
            <w:bCs/>
          </w:rPr>
          <w:t>http://resolver.scholarsportal.info.myaccess.library.utoronto.ca/resolve/09518398/v22i0004/431_dqrqarp</w:t>
        </w:r>
      </w:hyperlink>
      <w:r w:rsidRPr="0013268F">
        <w:rPr>
          <w:rStyle w:val="viewmarctags"/>
          <w:rFonts w:cs="Times New Roman"/>
          <w:b/>
          <w:bCs/>
        </w:rPr>
        <w:t xml:space="preserve"> </w:t>
      </w:r>
    </w:p>
    <w:p w:rsidR="00431771" w:rsidRPr="0013268F" w:rsidRDefault="00431771" w:rsidP="00420DB9">
      <w:pPr>
        <w:pStyle w:val="Default"/>
        <w:spacing w:after="120"/>
        <w:rPr>
          <w:rFonts w:ascii="Times New Roman" w:hAnsi="Times New Roman" w:cs="Times New Roman"/>
          <w:b/>
          <w:sz w:val="22"/>
          <w:szCs w:val="22"/>
        </w:rPr>
      </w:pPr>
      <w:r w:rsidRPr="0013268F">
        <w:rPr>
          <w:rFonts w:ascii="Times New Roman" w:hAnsi="Times New Roman" w:cs="Times New Roman"/>
          <w:b/>
          <w:sz w:val="22"/>
          <w:szCs w:val="22"/>
        </w:rPr>
        <w:t xml:space="preserve">Fletcher, A. J. (2016). Applying critical realism in qualitative research: methodology meets method. International Journal of Social Research Methodology, 1-14. </w:t>
      </w:r>
      <w:hyperlink r:id="rId33" w:history="1">
        <w:r w:rsidRPr="0013268F">
          <w:rPr>
            <w:rFonts w:ascii="Times New Roman" w:hAnsi="Times New Roman" w:cs="Times New Roman"/>
            <w:b/>
            <w:color w:val="0000FF"/>
            <w:sz w:val="22"/>
            <w:szCs w:val="22"/>
          </w:rPr>
          <w:t>http://dx.doi.org.myaccess.library.utoronto.ca/10.1080/13645579.2016.1144401</w:t>
        </w:r>
      </w:hyperlink>
      <w:r w:rsidRPr="0013268F">
        <w:rPr>
          <w:rFonts w:ascii="Times New Roman" w:hAnsi="Times New Roman" w:cs="Times New Roman"/>
          <w:b/>
          <w:sz w:val="22"/>
          <w:szCs w:val="22"/>
        </w:rPr>
        <w:t xml:space="preserve">  </w:t>
      </w:r>
    </w:p>
    <w:bookmarkEnd w:id="1"/>
    <w:p w:rsidR="002A7537" w:rsidRPr="00555004" w:rsidRDefault="002A7537" w:rsidP="00420DB9">
      <w:pPr>
        <w:widowControl w:val="0"/>
        <w:spacing w:after="120" w:line="240" w:lineRule="auto"/>
        <w:rPr>
          <w:rStyle w:val="Hyperlink"/>
          <w:rFonts w:cs="Times New Roman"/>
          <w:b/>
          <w:bCs/>
        </w:rPr>
      </w:pPr>
      <w:r w:rsidRPr="0013268F">
        <w:rPr>
          <w:rStyle w:val="viewmarctags"/>
          <w:rFonts w:cs="Times New Roman"/>
          <w:b/>
          <w:bCs/>
        </w:rPr>
        <w:t xml:space="preserve">Reeves, S., Albert, M., Kuper, A. &amp; Hodges, B. (2008). Why use theories in qualitative research? </w:t>
      </w:r>
      <w:r w:rsidRPr="00555004">
        <w:rPr>
          <w:rStyle w:val="viewmarctags"/>
          <w:rFonts w:cs="Times New Roman"/>
          <w:b/>
          <w:bCs/>
          <w:i/>
        </w:rPr>
        <w:lastRenderedPageBreak/>
        <w:t>British Medical Journal</w:t>
      </w:r>
      <w:r w:rsidRPr="00555004">
        <w:rPr>
          <w:rStyle w:val="viewmarctags"/>
          <w:rFonts w:cs="Times New Roman"/>
          <w:b/>
          <w:bCs/>
        </w:rPr>
        <w:t xml:space="preserve">, 337: 631-634. </w:t>
      </w:r>
      <w:hyperlink r:id="rId34" w:history="1">
        <w:r w:rsidRPr="00555004">
          <w:rPr>
            <w:rStyle w:val="Hyperlink"/>
            <w:rFonts w:cs="Times New Roman"/>
            <w:b/>
            <w:bCs/>
          </w:rPr>
          <w:t>http://www.bmj.com/content/337/bmj.a949.extract</w:t>
        </w:r>
      </w:hyperlink>
    </w:p>
    <w:p w:rsidR="00555004" w:rsidRPr="00555004" w:rsidRDefault="00555004" w:rsidP="00420DB9">
      <w:pPr>
        <w:widowControl w:val="0"/>
        <w:spacing w:after="120" w:line="240" w:lineRule="auto"/>
        <w:rPr>
          <w:rStyle w:val="viewmarctags"/>
          <w:rFonts w:cs="Times New Roman"/>
          <w:b/>
          <w:bCs/>
        </w:rPr>
      </w:pPr>
      <w:r w:rsidRPr="00555004">
        <w:rPr>
          <w:rStyle w:val="Hyperlink"/>
          <w:rFonts w:cs="Times New Roman"/>
          <w:b/>
          <w:bCs/>
        </w:rPr>
        <w:t xml:space="preserve">Cllins CS and Stockton CM. (2018). The central role of theory in qualitative research. Internatinal Journal of Qualiative Methods 17(1). </w:t>
      </w:r>
      <w:hyperlink r:id="rId35" w:history="1">
        <w:r w:rsidRPr="00180EA6">
          <w:rPr>
            <w:rStyle w:val="Hyperlink"/>
            <w:rFonts w:cs="Times New Roman"/>
            <w:color w:val="006ACC"/>
            <w:u w:val="none"/>
            <w:shd w:val="clear" w:color="auto" w:fill="FFFFFF"/>
          </w:rPr>
          <w:t>https://doi.org/10.1177/1609406918797475</w:t>
        </w:r>
      </w:hyperlink>
    </w:p>
    <w:p w:rsidR="002A7537" w:rsidRPr="00420DB9" w:rsidRDefault="002A7537" w:rsidP="00420DB9">
      <w:pPr>
        <w:widowControl w:val="0"/>
        <w:spacing w:after="120" w:line="240" w:lineRule="auto"/>
        <w:rPr>
          <w:rStyle w:val="viewmarctags"/>
          <w:rFonts w:cs="Times New Roman"/>
          <w:bCs/>
        </w:rPr>
      </w:pPr>
      <w:r w:rsidRPr="00420DB9">
        <w:rPr>
          <w:rStyle w:val="viewmarctags"/>
          <w:rFonts w:cs="Times New Roman"/>
          <w:bCs/>
        </w:rPr>
        <w:t xml:space="preserve">Scambler, G. (2009). Health-related stigma. </w:t>
      </w:r>
      <w:r w:rsidRPr="00420DB9">
        <w:rPr>
          <w:rStyle w:val="viewmarctags"/>
          <w:rFonts w:cs="Times New Roman"/>
          <w:bCs/>
          <w:i/>
        </w:rPr>
        <w:t xml:space="preserve">Sociology of Health &amp; Illness, </w:t>
      </w:r>
      <w:r w:rsidRPr="00420DB9">
        <w:rPr>
          <w:rStyle w:val="viewmarctags"/>
          <w:rFonts w:cs="Times New Roman"/>
          <w:bCs/>
        </w:rPr>
        <w:t>31(3), 441-455.</w:t>
      </w:r>
      <w:r w:rsidRPr="00420DB9">
        <w:rPr>
          <w:rFonts w:cs="Times New Roman"/>
        </w:rPr>
        <w:t xml:space="preserve"> </w:t>
      </w:r>
      <w:hyperlink r:id="rId36" w:history="1">
        <w:r w:rsidRPr="00420DB9">
          <w:rPr>
            <w:rStyle w:val="Hyperlink"/>
            <w:rFonts w:cs="Times New Roman"/>
            <w:bCs/>
          </w:rPr>
          <w:t>http://resolver.scholarsportal.info.myaccess.library.utoronto.ca/resolve/01419889/v31i0003/441_hs.xml</w:t>
        </w:r>
      </w:hyperlink>
      <w:r w:rsidRPr="00420DB9">
        <w:rPr>
          <w:rStyle w:val="viewmarctags"/>
          <w:rFonts w:cs="Times New Roman"/>
          <w:bCs/>
        </w:rPr>
        <w:t xml:space="preserve"> </w:t>
      </w:r>
    </w:p>
    <w:p w:rsidR="002A7537" w:rsidRPr="00420DB9" w:rsidRDefault="002A7537" w:rsidP="00420DB9">
      <w:pPr>
        <w:widowControl w:val="0"/>
        <w:spacing w:after="120" w:line="240" w:lineRule="auto"/>
        <w:rPr>
          <w:rFonts w:cs="Times New Roman"/>
        </w:rPr>
      </w:pPr>
      <w:r w:rsidRPr="00420DB9">
        <w:rPr>
          <w:rFonts w:cs="Times New Roman"/>
        </w:rPr>
        <w:t xml:space="preserve">Honan, E, Knobel, M., Baker, C., Davies, B. “Producing possible Hannahs: Theory and the subject of research”, </w:t>
      </w:r>
      <w:r w:rsidRPr="00420DB9">
        <w:rPr>
          <w:rFonts w:cs="Times New Roman"/>
          <w:i/>
        </w:rPr>
        <w:t>Qualitative Inquiry</w:t>
      </w:r>
      <w:r w:rsidRPr="00420DB9">
        <w:rPr>
          <w:rFonts w:cs="Times New Roman"/>
        </w:rPr>
        <w:t xml:space="preserve"> 6 (1), 2000:9-32 </w:t>
      </w:r>
      <w:hyperlink r:id="rId37" w:history="1">
        <w:r w:rsidRPr="00420DB9">
          <w:rPr>
            <w:rStyle w:val="Hyperlink"/>
            <w:rFonts w:cs="Times New Roman"/>
          </w:rPr>
          <w:t>http://journals.sagepub.com.myaccess.library.utoronto.ca/doi/pdf/10.1177/107780040000600102</w:t>
        </w:r>
      </w:hyperlink>
    </w:p>
    <w:p w:rsidR="00431771" w:rsidRPr="00420DB9" w:rsidRDefault="00431771" w:rsidP="00420DB9">
      <w:pPr>
        <w:pStyle w:val="Default"/>
        <w:spacing w:after="120"/>
        <w:rPr>
          <w:rFonts w:ascii="Times New Roman" w:hAnsi="Times New Roman" w:cs="Times New Roman"/>
          <w:color w:val="0000FF"/>
          <w:sz w:val="22"/>
          <w:szCs w:val="22"/>
        </w:rPr>
      </w:pPr>
      <w:r w:rsidRPr="00420DB9">
        <w:rPr>
          <w:rFonts w:ascii="Times New Roman" w:hAnsi="Times New Roman" w:cs="Times New Roman"/>
          <w:color w:val="auto"/>
          <w:sz w:val="22"/>
          <w:szCs w:val="22"/>
        </w:rPr>
        <w:t xml:space="preserve">Sandelowski, M. (1993). Theory Unmasked: The Uses and Guises of Theory in Qualitative Research. </w:t>
      </w:r>
      <w:r w:rsidRPr="00420DB9">
        <w:rPr>
          <w:rFonts w:ascii="Times New Roman" w:hAnsi="Times New Roman" w:cs="Times New Roman"/>
          <w:i/>
          <w:iCs/>
          <w:color w:val="auto"/>
          <w:sz w:val="22"/>
          <w:szCs w:val="22"/>
        </w:rPr>
        <w:t>Research in Nursing &amp; Health, 16</w:t>
      </w:r>
      <w:r w:rsidRPr="00420DB9">
        <w:rPr>
          <w:rFonts w:ascii="Times New Roman" w:hAnsi="Times New Roman" w:cs="Times New Roman"/>
          <w:color w:val="auto"/>
          <w:sz w:val="22"/>
          <w:szCs w:val="22"/>
        </w:rPr>
        <w:t xml:space="preserve">, 213-218. </w:t>
      </w:r>
      <w:hyperlink r:id="rId38" w:history="1">
        <w:r w:rsidRPr="00420DB9">
          <w:rPr>
            <w:rFonts w:ascii="Times New Roman" w:hAnsi="Times New Roman" w:cs="Times New Roman"/>
            <w:color w:val="0000FF"/>
            <w:sz w:val="22"/>
            <w:szCs w:val="22"/>
          </w:rPr>
          <w:t>http://simplelink.library.utoronto.ca/url.cfm/377092</w:t>
        </w:r>
      </w:hyperlink>
      <w:r w:rsidRPr="00420DB9">
        <w:rPr>
          <w:rFonts w:ascii="Times New Roman" w:hAnsi="Times New Roman" w:cs="Times New Roman"/>
          <w:color w:val="0000FF"/>
          <w:sz w:val="22"/>
          <w:szCs w:val="22"/>
        </w:rPr>
        <w:t xml:space="preserve"> </w:t>
      </w:r>
    </w:p>
    <w:p w:rsidR="002A7537" w:rsidRPr="00420DB9" w:rsidRDefault="005318B5" w:rsidP="0013268F">
      <w:pPr>
        <w:spacing w:after="120" w:line="240" w:lineRule="auto"/>
        <w:rPr>
          <w:rFonts w:cs="Times New Roman"/>
        </w:rPr>
      </w:pPr>
      <w:hyperlink r:id="rId39" w:history="1">
        <w:r w:rsidR="0013268F" w:rsidRPr="00420DB9">
          <w:rPr>
            <w:rFonts w:cs="Times New Roman"/>
            <w:color w:val="0000FF"/>
          </w:rPr>
          <w:t>http://simplelink.library.utoronto.ca/url.cfm/377117</w:t>
        </w:r>
      </w:hyperlink>
    </w:p>
    <w:p w:rsidR="0013268F" w:rsidRDefault="0013268F" w:rsidP="0013268F">
      <w:pPr>
        <w:pStyle w:val="Heading3"/>
        <w:rPr>
          <w:rStyle w:val="viewmarctags"/>
          <w:rFonts w:cs="Times New Roman"/>
          <w:bCs w:val="0"/>
        </w:rPr>
      </w:pPr>
      <w:r>
        <w:rPr>
          <w:rStyle w:val="viewmarctags"/>
          <w:rFonts w:cs="Times New Roman"/>
          <w:bCs w:val="0"/>
        </w:rPr>
        <w:t>Week 4: Reflexivity in Qualitative Research</w:t>
      </w:r>
    </w:p>
    <w:p w:rsidR="0013268F" w:rsidRPr="0013268F" w:rsidRDefault="0013268F" w:rsidP="0013268F">
      <w:pPr>
        <w:pStyle w:val="Default"/>
        <w:spacing w:after="120"/>
        <w:rPr>
          <w:rFonts w:ascii="Times New Roman" w:hAnsi="Times New Roman" w:cs="Times New Roman"/>
          <w:b/>
          <w:sz w:val="22"/>
          <w:szCs w:val="22"/>
        </w:rPr>
      </w:pPr>
      <w:r w:rsidRPr="0013268F">
        <w:rPr>
          <w:rFonts w:ascii="Times New Roman" w:hAnsi="Times New Roman" w:cs="Times New Roman"/>
          <w:b/>
          <w:sz w:val="22"/>
          <w:szCs w:val="22"/>
        </w:rPr>
        <w:t xml:space="preserve">Finlay, L. (2002). “Outing” the Researcher: The Provenance, Process, and Practice of Reflexivity. </w:t>
      </w:r>
      <w:r w:rsidRPr="0013268F">
        <w:rPr>
          <w:rFonts w:ascii="Times New Roman" w:hAnsi="Times New Roman" w:cs="Times New Roman"/>
          <w:b/>
          <w:i/>
          <w:iCs/>
          <w:sz w:val="22"/>
          <w:szCs w:val="22"/>
        </w:rPr>
        <w:t>Qualitative Health Research, 12</w:t>
      </w:r>
      <w:r w:rsidRPr="0013268F">
        <w:rPr>
          <w:rFonts w:ascii="Times New Roman" w:hAnsi="Times New Roman" w:cs="Times New Roman"/>
          <w:b/>
          <w:sz w:val="22"/>
          <w:szCs w:val="22"/>
        </w:rPr>
        <w:t xml:space="preserve">, 531-545. </w:t>
      </w:r>
      <w:hyperlink r:id="rId40" w:history="1">
        <w:r w:rsidRPr="0013268F">
          <w:rPr>
            <w:rFonts w:ascii="Times New Roman" w:hAnsi="Times New Roman" w:cs="Times New Roman"/>
            <w:b/>
            <w:color w:val="0000FF"/>
            <w:sz w:val="22"/>
            <w:szCs w:val="22"/>
          </w:rPr>
          <w:t>http://simplelink.library.utoronto.ca/url.cfm/292136</w:t>
        </w:r>
      </w:hyperlink>
      <w:r w:rsidRPr="0013268F">
        <w:rPr>
          <w:rFonts w:ascii="Times New Roman" w:hAnsi="Times New Roman" w:cs="Times New Roman"/>
          <w:b/>
          <w:sz w:val="22"/>
          <w:szCs w:val="22"/>
        </w:rPr>
        <w:t xml:space="preserve"> </w:t>
      </w:r>
    </w:p>
    <w:p w:rsidR="0013268F" w:rsidRDefault="0013268F" w:rsidP="0013268F">
      <w:pPr>
        <w:pStyle w:val="Default"/>
        <w:spacing w:after="120"/>
        <w:rPr>
          <w:rFonts w:ascii="Times New Roman" w:hAnsi="Times New Roman" w:cs="Times New Roman"/>
          <w:b/>
          <w:sz w:val="22"/>
          <w:szCs w:val="22"/>
        </w:rPr>
      </w:pPr>
      <w:r w:rsidRPr="0013268F">
        <w:rPr>
          <w:rFonts w:ascii="Times New Roman" w:hAnsi="Times New Roman" w:cs="Times New Roman"/>
          <w:b/>
          <w:sz w:val="22"/>
          <w:szCs w:val="22"/>
        </w:rPr>
        <w:t xml:space="preserve">Dickson-Swift, V., James, E.L., Kippen, S., &amp; Liamputtong, P. (2007) Doing sensitive research: what challenges do qualitative researchers face? </w:t>
      </w:r>
      <w:r w:rsidRPr="0013268F">
        <w:rPr>
          <w:rFonts w:ascii="Times New Roman" w:hAnsi="Times New Roman" w:cs="Times New Roman"/>
          <w:b/>
          <w:i/>
          <w:iCs/>
          <w:sz w:val="22"/>
          <w:szCs w:val="22"/>
        </w:rPr>
        <w:t>Qualitative Research, 7,</w:t>
      </w:r>
      <w:r w:rsidRPr="0013268F">
        <w:rPr>
          <w:rFonts w:ascii="Times New Roman" w:hAnsi="Times New Roman" w:cs="Times New Roman"/>
          <w:b/>
          <w:sz w:val="22"/>
          <w:szCs w:val="22"/>
        </w:rPr>
        <w:t xml:space="preserve"> 327-353. </w:t>
      </w:r>
      <w:hyperlink r:id="rId41" w:history="1">
        <w:r w:rsidRPr="0013268F">
          <w:rPr>
            <w:rFonts w:ascii="Times New Roman" w:hAnsi="Times New Roman" w:cs="Times New Roman"/>
            <w:b/>
            <w:color w:val="0000FF"/>
            <w:sz w:val="22"/>
            <w:szCs w:val="22"/>
          </w:rPr>
          <w:t>http://simplelink.library.utoronto.ca/url.cfm/292150</w:t>
        </w:r>
      </w:hyperlink>
      <w:r w:rsidRPr="0013268F">
        <w:rPr>
          <w:rFonts w:ascii="Times New Roman" w:hAnsi="Times New Roman" w:cs="Times New Roman"/>
          <w:b/>
          <w:sz w:val="22"/>
          <w:szCs w:val="22"/>
        </w:rPr>
        <w:t xml:space="preserve"> </w:t>
      </w:r>
    </w:p>
    <w:p w:rsidR="0013268F" w:rsidRPr="00DE0534" w:rsidRDefault="0013268F" w:rsidP="0013268F">
      <w:pPr>
        <w:pStyle w:val="Default"/>
        <w:spacing w:after="120"/>
        <w:rPr>
          <w:rFonts w:ascii="Times New Roman" w:hAnsi="Times New Roman" w:cs="Times New Roman"/>
          <w:b/>
          <w:color w:val="auto"/>
          <w:sz w:val="22"/>
          <w:szCs w:val="22"/>
        </w:rPr>
      </w:pPr>
      <w:r w:rsidRPr="00DE0534">
        <w:rPr>
          <w:rFonts w:ascii="Times New Roman" w:eastAsiaTheme="minorHAnsi" w:hAnsi="Times New Roman" w:cstheme="minorBidi"/>
          <w:b/>
          <w:color w:val="auto"/>
          <w:sz w:val="22"/>
          <w:szCs w:val="22"/>
          <w:shd w:val="clear" w:color="auto" w:fill="FFFFFF"/>
        </w:rPr>
        <w:t>Berger, R. (2015). Now I see it, now I don't: researcher's position and reflexivity in qualitative research" </w:t>
      </w:r>
      <w:r w:rsidRPr="00DE0534">
        <w:rPr>
          <w:rFonts w:ascii="Times New Roman" w:eastAsiaTheme="minorHAnsi" w:hAnsi="Times New Roman" w:cstheme="minorBidi"/>
          <w:b/>
          <w:i/>
          <w:iCs/>
          <w:color w:val="auto"/>
          <w:sz w:val="22"/>
          <w:szCs w:val="22"/>
          <w:shd w:val="clear" w:color="auto" w:fill="FFFFFF"/>
        </w:rPr>
        <w:t>Qualitative Research, 15(2), 219-234</w:t>
      </w:r>
    </w:p>
    <w:p w:rsidR="0013268F" w:rsidRPr="00420DB9" w:rsidRDefault="0013268F" w:rsidP="0013268F">
      <w:pPr>
        <w:widowControl w:val="0"/>
        <w:spacing w:after="120" w:line="240" w:lineRule="auto"/>
        <w:rPr>
          <w:rStyle w:val="viewmarctags"/>
          <w:rFonts w:cs="Times New Roman"/>
          <w:bCs/>
        </w:rPr>
      </w:pPr>
      <w:r w:rsidRPr="00420DB9">
        <w:rPr>
          <w:rStyle w:val="viewmarctags"/>
          <w:rFonts w:cs="Times New Roman"/>
          <w:bCs/>
        </w:rPr>
        <w:t xml:space="preserve">Doyle, S. (2013). Reflexivity and the capacity to think. </w:t>
      </w:r>
      <w:r w:rsidRPr="00420DB9">
        <w:rPr>
          <w:rStyle w:val="viewmarctags"/>
          <w:rFonts w:cs="Times New Roman"/>
          <w:bCs/>
          <w:i/>
        </w:rPr>
        <w:t>Qualitative Health Research, 23</w:t>
      </w:r>
      <w:r w:rsidRPr="00420DB9">
        <w:rPr>
          <w:rStyle w:val="viewmarctags"/>
          <w:rFonts w:cs="Times New Roman"/>
          <w:bCs/>
        </w:rPr>
        <w:t xml:space="preserve"> (2), 248-255. </w:t>
      </w:r>
    </w:p>
    <w:p w:rsidR="0013268F" w:rsidRPr="00420DB9" w:rsidRDefault="005318B5" w:rsidP="0013268F">
      <w:pPr>
        <w:widowControl w:val="0"/>
        <w:spacing w:after="120" w:line="240" w:lineRule="auto"/>
        <w:rPr>
          <w:rStyle w:val="viewmarctags"/>
          <w:rFonts w:cs="Times New Roman"/>
          <w:bCs/>
        </w:rPr>
      </w:pPr>
      <w:hyperlink r:id="rId42" w:history="1">
        <w:r w:rsidR="0013268F" w:rsidRPr="00420DB9">
          <w:rPr>
            <w:rStyle w:val="Hyperlink"/>
            <w:rFonts w:cs="Times New Roman"/>
            <w:bCs/>
          </w:rPr>
          <w:t>http://resolver.scholarsportal.info.myaccess.library.utoronto.ca/resolve/10497323/v23i0002/248_ratctt</w:t>
        </w:r>
      </w:hyperlink>
      <w:r w:rsidR="0013268F" w:rsidRPr="00420DB9">
        <w:rPr>
          <w:rStyle w:val="viewmarctags"/>
          <w:rFonts w:cs="Times New Roman"/>
          <w:bCs/>
        </w:rPr>
        <w:t xml:space="preserve"> </w:t>
      </w:r>
    </w:p>
    <w:p w:rsidR="00431771" w:rsidRPr="00420DB9" w:rsidRDefault="00431771"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Garcia, A., Standlee, A., Bechkoff, J., &amp; Yan Cui , . (2009). Ethnographic approaches to the internet and computer-mediated communication. </w:t>
      </w:r>
      <w:r w:rsidRPr="00420DB9">
        <w:rPr>
          <w:rFonts w:ascii="Times New Roman" w:hAnsi="Times New Roman" w:cs="Times New Roman"/>
          <w:i/>
          <w:iCs/>
          <w:sz w:val="22"/>
          <w:szCs w:val="22"/>
        </w:rPr>
        <w:t>Journal of Contemporary Ethnography</w:t>
      </w:r>
      <w:r w:rsidRPr="00420DB9">
        <w:rPr>
          <w:rFonts w:ascii="Times New Roman" w:hAnsi="Times New Roman" w:cs="Times New Roman"/>
          <w:sz w:val="22"/>
          <w:szCs w:val="22"/>
        </w:rPr>
        <w:t xml:space="preserve">, 38(1), 52-84. </w:t>
      </w:r>
      <w:hyperlink r:id="rId43" w:history="1">
        <w:r w:rsidRPr="00420DB9">
          <w:rPr>
            <w:rFonts w:ascii="Times New Roman" w:hAnsi="Times New Roman" w:cs="Times New Roman"/>
            <w:color w:val="0000FF"/>
            <w:sz w:val="22"/>
            <w:szCs w:val="22"/>
          </w:rPr>
          <w:t>http://uoft.me/2NW</w:t>
        </w:r>
      </w:hyperlink>
      <w:r w:rsidRPr="00420DB9">
        <w:rPr>
          <w:rFonts w:ascii="Times New Roman" w:hAnsi="Times New Roman" w:cs="Times New Roman"/>
          <w:sz w:val="22"/>
          <w:szCs w:val="22"/>
        </w:rPr>
        <w:t xml:space="preserve">  </w:t>
      </w:r>
    </w:p>
    <w:p w:rsidR="00431771" w:rsidRPr="00420DB9" w:rsidRDefault="00431771"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Wolfinger, N. H. (2002). On writing fieldnotes: collection strategies and background expectancies. </w:t>
      </w:r>
      <w:r w:rsidRPr="00420DB9">
        <w:rPr>
          <w:rFonts w:ascii="Times New Roman" w:hAnsi="Times New Roman" w:cs="Times New Roman"/>
          <w:i/>
          <w:iCs/>
          <w:sz w:val="22"/>
          <w:szCs w:val="22"/>
        </w:rPr>
        <w:t>Qualitative Research</w:t>
      </w:r>
      <w:r w:rsidRPr="00420DB9">
        <w:rPr>
          <w:rFonts w:ascii="Times New Roman" w:hAnsi="Times New Roman" w:cs="Times New Roman"/>
          <w:sz w:val="22"/>
          <w:szCs w:val="22"/>
        </w:rPr>
        <w:t xml:space="preserve">, 2(1), 85-93. </w:t>
      </w:r>
      <w:hyperlink r:id="rId44" w:history="1">
        <w:r w:rsidRPr="00420DB9">
          <w:rPr>
            <w:rFonts w:ascii="Times New Roman" w:hAnsi="Times New Roman" w:cs="Times New Roman"/>
            <w:color w:val="0000FF"/>
            <w:sz w:val="22"/>
            <w:szCs w:val="22"/>
          </w:rPr>
          <w:t>http://uoft.me/2NZ</w:t>
        </w:r>
      </w:hyperlink>
      <w:r w:rsidRPr="00420DB9">
        <w:rPr>
          <w:rFonts w:ascii="Times New Roman" w:hAnsi="Times New Roman" w:cs="Times New Roman"/>
          <w:sz w:val="22"/>
          <w:szCs w:val="22"/>
        </w:rPr>
        <w:t xml:space="preserve">  </w:t>
      </w:r>
    </w:p>
    <w:p w:rsidR="005C6722" w:rsidRPr="00420DB9" w:rsidRDefault="005C6722" w:rsidP="00420DB9">
      <w:pPr>
        <w:widowControl w:val="0"/>
        <w:spacing w:after="120" w:line="240" w:lineRule="auto"/>
        <w:rPr>
          <w:rFonts w:cs="Times New Roman"/>
          <w:noProof/>
        </w:rPr>
      </w:pPr>
      <w:r w:rsidRPr="00420DB9">
        <w:rPr>
          <w:rFonts w:cs="Times New Roman"/>
        </w:rPr>
        <w:t xml:space="preserve">Bogdewic, S. (1999). Participant observation. </w:t>
      </w:r>
      <w:r w:rsidRPr="00420DB9">
        <w:rPr>
          <w:rFonts w:cs="Times New Roman"/>
          <w:noProof/>
        </w:rPr>
        <w:t xml:space="preserve">In BF Crabtree and WL Miller (Eds.). </w:t>
      </w:r>
      <w:r w:rsidRPr="00420DB9">
        <w:rPr>
          <w:rFonts w:cs="Times New Roman"/>
          <w:i/>
          <w:noProof/>
        </w:rPr>
        <w:t>Doing qualitative research</w:t>
      </w:r>
      <w:r w:rsidRPr="00420DB9">
        <w:rPr>
          <w:rFonts w:cs="Times New Roman"/>
          <w:noProof/>
        </w:rPr>
        <w:t xml:space="preserve"> (second edition). Thousand Oaks, CA. Sage Publications. Pp 47-69. PDF.</w:t>
      </w:r>
    </w:p>
    <w:p w:rsidR="002A7537" w:rsidRPr="00420DB9" w:rsidRDefault="002A7537" w:rsidP="00420DB9">
      <w:pPr>
        <w:widowControl w:val="0"/>
        <w:spacing w:after="120" w:line="240" w:lineRule="auto"/>
        <w:rPr>
          <w:rFonts w:cs="Times New Roman"/>
          <w:bCs/>
        </w:rPr>
      </w:pPr>
      <w:r w:rsidRPr="00420DB9">
        <w:rPr>
          <w:rFonts w:cs="Times New Roman"/>
          <w:bCs/>
        </w:rPr>
        <w:t xml:space="preserve">Pezalla. A., Pettigrew, J., Miller-Day, M (2012) Researching the researcher-as-instrument: an exercise in interviewer self-reflexivity. </w:t>
      </w:r>
      <w:r w:rsidRPr="00420DB9">
        <w:rPr>
          <w:rFonts w:cs="Times New Roman"/>
          <w:bCs/>
          <w:i/>
        </w:rPr>
        <w:t>Qualitative Research</w:t>
      </w:r>
      <w:r w:rsidRPr="00420DB9">
        <w:rPr>
          <w:rFonts w:cs="Times New Roman"/>
          <w:bCs/>
        </w:rPr>
        <w:t>, 12 (2), 165-185.</w:t>
      </w:r>
      <w:r w:rsidRPr="00420DB9">
        <w:rPr>
          <w:rFonts w:cs="Times New Roman"/>
        </w:rPr>
        <w:t xml:space="preserve"> </w:t>
      </w:r>
      <w:hyperlink r:id="rId45" w:history="1">
        <w:r w:rsidRPr="00420DB9">
          <w:rPr>
            <w:rStyle w:val="Hyperlink"/>
            <w:rFonts w:cs="Times New Roman"/>
            <w:bCs/>
          </w:rPr>
          <w:t>http://simplelink.library.utoronto.ca/url.cfm/508295</w:t>
        </w:r>
      </w:hyperlink>
      <w:r w:rsidRPr="00420DB9">
        <w:rPr>
          <w:rFonts w:cs="Times New Roman"/>
          <w:bCs/>
        </w:rPr>
        <w:t xml:space="preserve"> </w:t>
      </w:r>
    </w:p>
    <w:p w:rsidR="002A7537" w:rsidRPr="00420DB9" w:rsidRDefault="002A7537" w:rsidP="00420DB9">
      <w:pPr>
        <w:pStyle w:val="Default"/>
        <w:spacing w:after="120"/>
        <w:rPr>
          <w:rFonts w:ascii="Times New Roman" w:hAnsi="Times New Roman" w:cs="Times New Roman"/>
          <w:sz w:val="22"/>
          <w:szCs w:val="22"/>
        </w:rPr>
      </w:pPr>
    </w:p>
    <w:p w:rsidR="0013268F" w:rsidRDefault="0013268F" w:rsidP="00420DB9">
      <w:pPr>
        <w:pStyle w:val="Heading3"/>
        <w:tabs>
          <w:tab w:val="center" w:pos="4680"/>
        </w:tabs>
        <w:spacing w:before="0" w:after="120" w:line="240" w:lineRule="auto"/>
        <w:rPr>
          <w:rFonts w:ascii="Times New Roman" w:hAnsi="Times New Roman" w:cs="Times New Roman"/>
        </w:rPr>
      </w:pPr>
      <w:r>
        <w:rPr>
          <w:rFonts w:ascii="Times New Roman" w:hAnsi="Times New Roman" w:cs="Times New Roman"/>
        </w:rPr>
        <w:t>Week 5: Participants and Populations</w:t>
      </w:r>
    </w:p>
    <w:p w:rsidR="0013268F" w:rsidRPr="00DE0534" w:rsidRDefault="0013268F" w:rsidP="0013268F">
      <w:pPr>
        <w:widowControl w:val="0"/>
        <w:spacing w:after="120" w:line="240" w:lineRule="auto"/>
        <w:rPr>
          <w:rFonts w:cs="Times New Roman"/>
          <w:b/>
          <w:bCs/>
        </w:rPr>
      </w:pPr>
      <w:r w:rsidRPr="0013268F">
        <w:rPr>
          <w:rFonts w:cs="Times New Roman"/>
          <w:b/>
          <w:bCs/>
        </w:rPr>
        <w:t xml:space="preserve">Mandeson, L., Bennett, E., Andajani-Sutjaho, S. (2006). The social dynamics of the interview: age, class and gender. </w:t>
      </w:r>
      <w:r w:rsidRPr="0013268F">
        <w:rPr>
          <w:rFonts w:cs="Times New Roman"/>
          <w:b/>
          <w:bCs/>
          <w:i/>
        </w:rPr>
        <w:t>Qualitative Health Research</w:t>
      </w:r>
      <w:r w:rsidRPr="0013268F">
        <w:rPr>
          <w:rFonts w:cs="Times New Roman"/>
          <w:b/>
          <w:bCs/>
        </w:rPr>
        <w:t xml:space="preserve">, 16 (10), 1317-1334. </w:t>
      </w:r>
      <w:hyperlink r:id="rId46" w:history="1">
        <w:r w:rsidRPr="00DE0534">
          <w:rPr>
            <w:rStyle w:val="Hyperlink"/>
            <w:rFonts w:cs="Times New Roman"/>
            <w:b/>
            <w:bCs/>
            <w:color w:val="auto"/>
          </w:rPr>
          <w:t>http://qhr.sagepub.com.myaccess.library.utoronto.ca/content/16/10/1317.full.pdf+html</w:t>
        </w:r>
      </w:hyperlink>
    </w:p>
    <w:p w:rsidR="0013268F" w:rsidRPr="00DE0534" w:rsidRDefault="0013268F" w:rsidP="0013268F">
      <w:pPr>
        <w:widowControl w:val="0"/>
        <w:spacing w:after="120" w:line="240" w:lineRule="auto"/>
        <w:rPr>
          <w:b/>
          <w:shd w:val="clear" w:color="auto" w:fill="FFFFFF"/>
        </w:rPr>
      </w:pPr>
      <w:r w:rsidRPr="00DE0534">
        <w:rPr>
          <w:b/>
          <w:shd w:val="clear" w:color="auto" w:fill="FFFFFF"/>
        </w:rPr>
        <w:t>Jachyra, P., Atkinson, M., and Gibson, B. (2014). Gender performativity during interviews with adolescent boys. </w:t>
      </w:r>
      <w:r w:rsidRPr="00DE0534">
        <w:rPr>
          <w:b/>
          <w:i/>
          <w:iCs/>
          <w:shd w:val="clear" w:color="auto" w:fill="FFFFFF"/>
        </w:rPr>
        <w:t>Qualitative Research in Sport, Exercise and Health,</w:t>
      </w:r>
      <w:r w:rsidRPr="00DE0534">
        <w:rPr>
          <w:b/>
          <w:shd w:val="clear" w:color="auto" w:fill="FFFFFF"/>
        </w:rPr>
        <w:t> 6(4), 568-582.</w:t>
      </w:r>
    </w:p>
    <w:p w:rsidR="0066669F" w:rsidRPr="00420DB9" w:rsidRDefault="00DE0534" w:rsidP="00420DB9">
      <w:pPr>
        <w:pStyle w:val="Heading3"/>
        <w:tabs>
          <w:tab w:val="center" w:pos="4680"/>
        </w:tabs>
        <w:spacing w:before="0" w:after="120" w:line="240" w:lineRule="auto"/>
        <w:rPr>
          <w:rFonts w:ascii="Times New Roman" w:hAnsi="Times New Roman" w:cs="Times New Roman"/>
        </w:rPr>
      </w:pPr>
      <w:r>
        <w:rPr>
          <w:rFonts w:ascii="Times New Roman" w:hAnsi="Times New Roman" w:cs="Times New Roman"/>
        </w:rPr>
        <w:t>Week 7</w:t>
      </w:r>
      <w:r w:rsidR="0066669F" w:rsidRPr="00420DB9">
        <w:rPr>
          <w:rFonts w:ascii="Times New Roman" w:hAnsi="Times New Roman" w:cs="Times New Roman"/>
        </w:rPr>
        <w:t xml:space="preserve">. </w:t>
      </w:r>
      <w:r w:rsidR="0013268F">
        <w:rPr>
          <w:rFonts w:ascii="Times New Roman" w:hAnsi="Times New Roman" w:cs="Times New Roman"/>
        </w:rPr>
        <w:t>Data Collection Methods</w:t>
      </w:r>
      <w:r w:rsidR="002A7537" w:rsidRPr="00420DB9">
        <w:rPr>
          <w:rFonts w:ascii="Times New Roman" w:hAnsi="Times New Roman" w:cs="Times New Roman"/>
        </w:rPr>
        <w:tab/>
      </w:r>
    </w:p>
    <w:p w:rsidR="0013268F" w:rsidRPr="0013268F" w:rsidRDefault="0013268F" w:rsidP="0013268F">
      <w:pPr>
        <w:pStyle w:val="Default"/>
        <w:spacing w:after="120"/>
        <w:rPr>
          <w:rFonts w:ascii="Times New Roman" w:hAnsi="Times New Roman" w:cs="Times New Roman"/>
          <w:b/>
          <w:sz w:val="22"/>
          <w:szCs w:val="22"/>
        </w:rPr>
      </w:pPr>
      <w:r w:rsidRPr="0013268F">
        <w:rPr>
          <w:rFonts w:ascii="Times New Roman" w:hAnsi="Times New Roman" w:cs="Times New Roman"/>
          <w:b/>
          <w:sz w:val="22"/>
          <w:szCs w:val="22"/>
        </w:rPr>
        <w:t xml:space="preserve">Lehoux, P., Poland, B., &amp; Daudelin, G. (2006). Focus group research and “the patient’s view”. </w:t>
      </w:r>
      <w:r w:rsidRPr="0013268F">
        <w:rPr>
          <w:rFonts w:ascii="Times New Roman" w:hAnsi="Times New Roman" w:cs="Times New Roman"/>
          <w:b/>
          <w:i/>
          <w:iCs/>
          <w:sz w:val="22"/>
          <w:szCs w:val="22"/>
        </w:rPr>
        <w:t>Social Science &amp; Medicine, 63</w:t>
      </w:r>
      <w:r w:rsidRPr="0013268F">
        <w:rPr>
          <w:rFonts w:ascii="Times New Roman" w:hAnsi="Times New Roman" w:cs="Times New Roman"/>
          <w:b/>
          <w:sz w:val="22"/>
          <w:szCs w:val="22"/>
        </w:rPr>
        <w:t xml:space="preserve">, 2091-2104. </w:t>
      </w:r>
      <w:hyperlink r:id="rId47" w:history="1">
        <w:r w:rsidRPr="0013268F">
          <w:rPr>
            <w:rFonts w:ascii="Times New Roman" w:hAnsi="Times New Roman" w:cs="Times New Roman"/>
            <w:b/>
            <w:color w:val="0000FF"/>
            <w:sz w:val="22"/>
            <w:szCs w:val="22"/>
          </w:rPr>
          <w:t>http://simplelink.library.utoronto.ca/url.cfm/377117</w:t>
        </w:r>
      </w:hyperlink>
      <w:r w:rsidRPr="0013268F">
        <w:rPr>
          <w:rFonts w:ascii="Times New Roman" w:hAnsi="Times New Roman" w:cs="Times New Roman"/>
          <w:b/>
          <w:sz w:val="22"/>
          <w:szCs w:val="22"/>
        </w:rPr>
        <w:t xml:space="preserve"> </w:t>
      </w:r>
    </w:p>
    <w:p w:rsidR="0013268F" w:rsidRPr="0013268F" w:rsidRDefault="0013268F" w:rsidP="0013268F">
      <w:pPr>
        <w:pStyle w:val="Default"/>
        <w:spacing w:after="120"/>
        <w:rPr>
          <w:rFonts w:ascii="Times New Roman" w:hAnsi="Times New Roman" w:cs="Times New Roman"/>
          <w:b/>
          <w:sz w:val="22"/>
          <w:szCs w:val="22"/>
        </w:rPr>
      </w:pPr>
      <w:r w:rsidRPr="0013268F">
        <w:rPr>
          <w:rFonts w:ascii="Times New Roman" w:hAnsi="Times New Roman" w:cs="Times New Roman"/>
          <w:b/>
          <w:sz w:val="22"/>
          <w:szCs w:val="22"/>
        </w:rPr>
        <w:lastRenderedPageBreak/>
        <w:t xml:space="preserve">Bauer, K.W., Yang, Y.W., &amp; Austin, S.B. (2004). “How Can We Stay Healthy when you’re Throwing All of this in Front of Us?” Findings from Focus Groups and Interviews in Middle Schools on Environmental Influences on Nutrition and Physical Activity. </w:t>
      </w:r>
      <w:r w:rsidRPr="0013268F">
        <w:rPr>
          <w:rFonts w:ascii="Times New Roman" w:hAnsi="Times New Roman" w:cs="Times New Roman"/>
          <w:b/>
          <w:i/>
          <w:iCs/>
          <w:sz w:val="22"/>
          <w:szCs w:val="22"/>
        </w:rPr>
        <w:t xml:space="preserve">Health Education and Behavior, 31, </w:t>
      </w:r>
      <w:r w:rsidRPr="0013268F">
        <w:rPr>
          <w:rFonts w:ascii="Times New Roman" w:hAnsi="Times New Roman" w:cs="Times New Roman"/>
          <w:b/>
          <w:sz w:val="22"/>
          <w:szCs w:val="22"/>
        </w:rPr>
        <w:t xml:space="preserve">34-46. </w:t>
      </w:r>
    </w:p>
    <w:p w:rsidR="0013268F" w:rsidRPr="0013268F" w:rsidRDefault="0013268F" w:rsidP="0013268F">
      <w:pPr>
        <w:shd w:val="clear" w:color="auto" w:fill="FFFFFF"/>
        <w:spacing w:before="180" w:after="0" w:line="240" w:lineRule="auto"/>
        <w:rPr>
          <w:rFonts w:eastAsia="Times New Roman" w:cs="Times New Roman"/>
          <w:color w:val="2D3B45"/>
        </w:rPr>
      </w:pPr>
      <w:r w:rsidRPr="0013268F">
        <w:rPr>
          <w:rFonts w:eastAsia="Times New Roman" w:cs="Times New Roman"/>
          <w:color w:val="2D3B45"/>
        </w:rPr>
        <w:t>van Manen, M. A. (2017). The ventricular assist device in the life of the child: A phenomenological pediatric study. </w:t>
      </w:r>
      <w:r w:rsidRPr="0013268F">
        <w:rPr>
          <w:rFonts w:eastAsia="Times New Roman" w:cs="Times New Roman"/>
          <w:i/>
          <w:iCs/>
          <w:color w:val="2D3B45"/>
        </w:rPr>
        <w:t>Qualitative health research</w:t>
      </w:r>
      <w:r w:rsidRPr="0013268F">
        <w:rPr>
          <w:rFonts w:eastAsia="Times New Roman" w:cs="Times New Roman"/>
          <w:color w:val="2D3B45"/>
        </w:rPr>
        <w:t>, </w:t>
      </w:r>
      <w:r w:rsidRPr="0013268F">
        <w:rPr>
          <w:rFonts w:eastAsia="Times New Roman" w:cs="Times New Roman"/>
          <w:i/>
          <w:iCs/>
          <w:color w:val="2D3B45"/>
        </w:rPr>
        <w:t>27</w:t>
      </w:r>
      <w:r w:rsidRPr="0013268F">
        <w:rPr>
          <w:rFonts w:eastAsia="Times New Roman" w:cs="Times New Roman"/>
          <w:color w:val="2D3B45"/>
        </w:rPr>
        <w:t>(6), 792-804.</w:t>
      </w:r>
    </w:p>
    <w:p w:rsidR="0013268F" w:rsidRPr="0013268F" w:rsidRDefault="0013268F" w:rsidP="0013268F">
      <w:pPr>
        <w:shd w:val="clear" w:color="auto" w:fill="FFFFFF"/>
        <w:spacing w:before="180" w:after="0" w:line="240" w:lineRule="auto"/>
        <w:rPr>
          <w:rFonts w:eastAsia="Times New Roman" w:cs="Times New Roman"/>
          <w:color w:val="2D3B45"/>
        </w:rPr>
      </w:pPr>
      <w:r w:rsidRPr="0013268F">
        <w:rPr>
          <w:rFonts w:eastAsia="Times New Roman" w:cs="Times New Roman"/>
          <w:color w:val="2D3B45"/>
        </w:rPr>
        <w:t>Starks, H., &amp; Trinidad, S.B. (2007). Choose Your Method: A Comparison of Phenomenology, Discourse Analysis and Grounded Theory. </w:t>
      </w:r>
      <w:r w:rsidRPr="0013268F">
        <w:rPr>
          <w:rFonts w:eastAsia="Times New Roman" w:cs="Times New Roman"/>
          <w:i/>
          <w:iCs/>
          <w:color w:val="2D3B45"/>
        </w:rPr>
        <w:t>Qualitative Health Research, 17</w:t>
      </w:r>
      <w:r w:rsidRPr="0013268F">
        <w:rPr>
          <w:rFonts w:eastAsia="Times New Roman" w:cs="Times New Roman"/>
          <w:color w:val="2D3B45"/>
        </w:rPr>
        <w:t>, 1372-1380.</w:t>
      </w:r>
    </w:p>
    <w:p w:rsidR="005F500A" w:rsidRPr="00420DB9" w:rsidRDefault="005F500A" w:rsidP="0013268F">
      <w:pPr>
        <w:widowControl w:val="0"/>
        <w:spacing w:after="120" w:line="240" w:lineRule="auto"/>
        <w:rPr>
          <w:rFonts w:cs="Times New Roman"/>
        </w:rPr>
      </w:pPr>
      <w:r w:rsidRPr="00420DB9">
        <w:rPr>
          <w:rFonts w:cs="Times New Roman"/>
        </w:rPr>
        <w:t xml:space="preserve">Kearney, M.H., Murphy, S., &amp; Rosenbaum, M. (1994). Mothering on Crack Cocaine: A Grounded Theory Analysis. </w:t>
      </w:r>
      <w:r w:rsidRPr="00420DB9">
        <w:rPr>
          <w:rFonts w:cs="Times New Roman"/>
          <w:i/>
          <w:iCs/>
        </w:rPr>
        <w:t>Soc. Sci. Med., 38</w:t>
      </w:r>
      <w:r w:rsidRPr="00420DB9">
        <w:rPr>
          <w:rFonts w:cs="Times New Roman"/>
        </w:rPr>
        <w:t xml:space="preserve">, 351-361. </w:t>
      </w:r>
      <w:hyperlink r:id="rId48" w:history="1">
        <w:r w:rsidRPr="00420DB9">
          <w:rPr>
            <w:rFonts w:cs="Times New Roman"/>
            <w:color w:val="0000FF"/>
          </w:rPr>
          <w:t>http://simplelink.library.utoronto.ca/url.cfm/292122</w:t>
        </w:r>
      </w:hyperlink>
      <w:r w:rsidRPr="00420DB9">
        <w:rPr>
          <w:rFonts w:cs="Times New Roman"/>
        </w:rPr>
        <w:t xml:space="preserve"> </w:t>
      </w:r>
    </w:p>
    <w:p w:rsidR="005F500A" w:rsidRPr="00420DB9" w:rsidRDefault="005F500A"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Ahmad, F., Driver, N., McNally, M.J., &amp; Stewart, D.E. (2009). “Why doesn’t she seek help for partner abuse?” An exploratory study with South Asian immigrant women. </w:t>
      </w:r>
      <w:r w:rsidRPr="00420DB9">
        <w:rPr>
          <w:rFonts w:ascii="Times New Roman" w:hAnsi="Times New Roman" w:cs="Times New Roman"/>
          <w:i/>
          <w:iCs/>
          <w:sz w:val="22"/>
          <w:szCs w:val="22"/>
        </w:rPr>
        <w:t>Social Science and Medicine, 69</w:t>
      </w:r>
      <w:r w:rsidRPr="00420DB9">
        <w:rPr>
          <w:rFonts w:ascii="Times New Roman" w:hAnsi="Times New Roman" w:cs="Times New Roman"/>
          <w:sz w:val="22"/>
          <w:szCs w:val="22"/>
        </w:rPr>
        <w:t xml:space="preserve">, 613-622. </w:t>
      </w:r>
      <w:hyperlink r:id="rId49" w:history="1">
        <w:r w:rsidRPr="00420DB9">
          <w:rPr>
            <w:rFonts w:ascii="Times New Roman" w:hAnsi="Times New Roman" w:cs="Times New Roman"/>
            <w:color w:val="0000FF"/>
            <w:sz w:val="22"/>
            <w:szCs w:val="22"/>
          </w:rPr>
          <w:t>http://simplelink.library.utoronto.ca/url.cfm/377112</w:t>
        </w:r>
      </w:hyperlink>
      <w:r w:rsidRPr="00420DB9">
        <w:rPr>
          <w:rFonts w:ascii="Times New Roman" w:hAnsi="Times New Roman" w:cs="Times New Roman"/>
          <w:sz w:val="22"/>
          <w:szCs w:val="22"/>
        </w:rPr>
        <w:t xml:space="preserve"> </w:t>
      </w:r>
    </w:p>
    <w:p w:rsidR="002A7537" w:rsidRPr="00420DB9" w:rsidRDefault="002A7537" w:rsidP="00420DB9">
      <w:pPr>
        <w:widowControl w:val="0"/>
        <w:spacing w:after="120" w:line="240" w:lineRule="auto"/>
        <w:rPr>
          <w:rFonts w:cs="Times New Roman"/>
          <w:bCs/>
        </w:rPr>
      </w:pPr>
      <w:r w:rsidRPr="00420DB9">
        <w:rPr>
          <w:rFonts w:cs="Times New Roman"/>
          <w:bCs/>
        </w:rPr>
        <w:t xml:space="preserve">Kenny, M. &amp; Fourie, R. (2014). Tracing the History of Grounded Theory Methodology: From Formation to Fragmentation. </w:t>
      </w:r>
      <w:r w:rsidRPr="00420DB9">
        <w:rPr>
          <w:rFonts w:cs="Times New Roman"/>
          <w:bCs/>
          <w:i/>
        </w:rPr>
        <w:t>The Qualitative Report, 19</w:t>
      </w:r>
      <w:r w:rsidRPr="00420DB9">
        <w:rPr>
          <w:rFonts w:cs="Times New Roman"/>
          <w:bCs/>
        </w:rPr>
        <w:t>(103), 1-9.</w:t>
      </w:r>
    </w:p>
    <w:p w:rsidR="002A7537" w:rsidRPr="00420DB9" w:rsidRDefault="005318B5" w:rsidP="00420DB9">
      <w:pPr>
        <w:widowControl w:val="0"/>
        <w:spacing w:after="120" w:line="240" w:lineRule="auto"/>
        <w:rPr>
          <w:rFonts w:cs="Times New Roman"/>
          <w:bCs/>
        </w:rPr>
      </w:pPr>
      <w:hyperlink r:id="rId50" w:history="1">
        <w:r w:rsidR="002A7537" w:rsidRPr="00420DB9">
          <w:rPr>
            <w:rStyle w:val="Hyperlink"/>
            <w:rFonts w:cs="Times New Roman"/>
            <w:bCs/>
          </w:rPr>
          <w:t>http://www.nova.edu/ssss/QR/QR19/kenny103.pdf</w:t>
        </w:r>
      </w:hyperlink>
      <w:r w:rsidR="002A7537" w:rsidRPr="00420DB9">
        <w:rPr>
          <w:rFonts w:cs="Times New Roman"/>
          <w:bCs/>
        </w:rPr>
        <w:t xml:space="preserve"> </w:t>
      </w:r>
    </w:p>
    <w:p w:rsidR="00431771" w:rsidRPr="00420DB9" w:rsidRDefault="00431771" w:rsidP="00420DB9">
      <w:pPr>
        <w:pStyle w:val="Heading3"/>
        <w:spacing w:before="0" w:after="120" w:line="240" w:lineRule="auto"/>
        <w:rPr>
          <w:rFonts w:ascii="Times New Roman" w:hAnsi="Times New Roman" w:cs="Times New Roman"/>
        </w:rPr>
      </w:pPr>
    </w:p>
    <w:p w:rsidR="0066669F" w:rsidRPr="00420DB9" w:rsidRDefault="0066669F" w:rsidP="00420DB9">
      <w:pPr>
        <w:pStyle w:val="Heading3"/>
        <w:spacing w:before="0" w:after="120" w:line="240" w:lineRule="auto"/>
        <w:rPr>
          <w:rFonts w:ascii="Times New Roman" w:hAnsi="Times New Roman" w:cs="Times New Roman"/>
        </w:rPr>
      </w:pPr>
      <w:r w:rsidRPr="00420DB9">
        <w:rPr>
          <w:rFonts w:ascii="Times New Roman" w:hAnsi="Times New Roman" w:cs="Times New Roman"/>
        </w:rPr>
        <w:t xml:space="preserve">Week </w:t>
      </w:r>
      <w:r w:rsidR="0013268F">
        <w:rPr>
          <w:rFonts w:ascii="Times New Roman" w:hAnsi="Times New Roman" w:cs="Times New Roman"/>
        </w:rPr>
        <w:t>8: The Analytical Process</w:t>
      </w:r>
    </w:p>
    <w:p w:rsidR="0013268F" w:rsidRPr="0013268F" w:rsidRDefault="0013268F" w:rsidP="0013268F">
      <w:pPr>
        <w:autoSpaceDE w:val="0"/>
        <w:autoSpaceDN w:val="0"/>
        <w:adjustRightInd w:val="0"/>
        <w:spacing w:after="0" w:line="240" w:lineRule="auto"/>
        <w:rPr>
          <w:rFonts w:ascii="ArnoPro" w:hAnsi="ArnoPro" w:cs="ArnoPro"/>
          <w:b/>
          <w:color w:val="000000"/>
          <w:sz w:val="18"/>
          <w:szCs w:val="18"/>
        </w:rPr>
      </w:pPr>
      <w:r w:rsidRPr="0013268F">
        <w:rPr>
          <w:rFonts w:ascii="ArnoPro" w:hAnsi="ArnoPro" w:cs="ArnoPro"/>
          <w:b/>
          <w:color w:val="000000"/>
          <w:sz w:val="18"/>
          <w:szCs w:val="18"/>
        </w:rPr>
        <w:t>Brown, N. (2019). “Listen to Your Gut”: A Reflexive Approach to Data Analysis.</w:t>
      </w:r>
      <w:r w:rsidRPr="0013268F">
        <w:rPr>
          <w:rFonts w:ascii="ArnoPro,Italic" w:hAnsi="ArnoPro,Italic" w:cs="ArnoPro,Italic"/>
          <w:b/>
          <w:i/>
          <w:iCs/>
          <w:color w:val="000000"/>
          <w:sz w:val="18"/>
          <w:szCs w:val="18"/>
        </w:rPr>
        <w:t>The Qualitative Report</w:t>
      </w:r>
      <w:r w:rsidRPr="0013268F">
        <w:rPr>
          <w:rFonts w:ascii="ArnoPro" w:hAnsi="ArnoPro" w:cs="ArnoPro"/>
          <w:b/>
          <w:color w:val="000000"/>
          <w:sz w:val="18"/>
          <w:szCs w:val="18"/>
        </w:rPr>
        <w:t xml:space="preserve">, </w:t>
      </w:r>
      <w:r w:rsidRPr="0013268F">
        <w:rPr>
          <w:rFonts w:ascii="ArnoPro,Italic" w:hAnsi="ArnoPro,Italic" w:cs="ArnoPro,Italic"/>
          <w:b/>
          <w:i/>
          <w:iCs/>
          <w:color w:val="000000"/>
          <w:sz w:val="18"/>
          <w:szCs w:val="18"/>
        </w:rPr>
        <w:t>24</w:t>
      </w:r>
      <w:r w:rsidRPr="0013268F">
        <w:rPr>
          <w:rFonts w:ascii="ArnoPro" w:hAnsi="ArnoPro" w:cs="ArnoPro"/>
          <w:b/>
          <w:color w:val="000000"/>
          <w:sz w:val="18"/>
          <w:szCs w:val="18"/>
        </w:rPr>
        <w:t>(13), 31-43. Retrieved from</w:t>
      </w:r>
    </w:p>
    <w:p w:rsidR="0013268F" w:rsidRPr="0013268F" w:rsidRDefault="0013268F" w:rsidP="0013268F">
      <w:pPr>
        <w:pStyle w:val="Default"/>
        <w:spacing w:after="120"/>
        <w:rPr>
          <w:rFonts w:ascii="Times New Roman" w:hAnsi="Times New Roman" w:cs="Times New Roman"/>
          <w:b/>
          <w:sz w:val="22"/>
          <w:szCs w:val="22"/>
        </w:rPr>
      </w:pPr>
      <w:r w:rsidRPr="0013268F">
        <w:rPr>
          <w:rFonts w:ascii="ArnoPro" w:hAnsi="ArnoPro" w:cs="ArnoPro"/>
          <w:b/>
          <w:color w:val="1F3D7D"/>
          <w:sz w:val="18"/>
          <w:szCs w:val="18"/>
        </w:rPr>
        <w:t>https://nsuworks.nova.edu/tqr/vol24/iss13/4</w:t>
      </w:r>
      <w:r w:rsidRPr="0013268F">
        <w:rPr>
          <w:rFonts w:ascii="Times New Roman" w:hAnsi="Times New Roman" w:cs="Times New Roman"/>
          <w:b/>
          <w:sz w:val="22"/>
          <w:szCs w:val="22"/>
        </w:rPr>
        <w:t xml:space="preserve">Birks M, Chapman Y, and Francis K. (2008). </w:t>
      </w:r>
    </w:p>
    <w:p w:rsidR="0013268F" w:rsidRPr="0013268F" w:rsidRDefault="0013268F" w:rsidP="0013268F">
      <w:pPr>
        <w:pStyle w:val="Default"/>
        <w:spacing w:after="120"/>
        <w:rPr>
          <w:rFonts w:ascii="Times New Roman" w:hAnsi="Times New Roman" w:cs="Times New Roman"/>
          <w:b/>
          <w:sz w:val="22"/>
          <w:szCs w:val="22"/>
        </w:rPr>
      </w:pPr>
      <w:r w:rsidRPr="0013268F">
        <w:rPr>
          <w:rFonts w:ascii="Times New Roman" w:hAnsi="Times New Roman" w:cs="Times New Roman"/>
          <w:b/>
          <w:sz w:val="22"/>
          <w:szCs w:val="22"/>
        </w:rPr>
        <w:t xml:space="preserve">Memoing in qualitative research: Probing data and processes. Journal of Research in Nursing, 13(1):68-75. </w:t>
      </w:r>
      <w:hyperlink r:id="rId51" w:history="1">
        <w:r w:rsidRPr="0013268F">
          <w:rPr>
            <w:rStyle w:val="Hyperlink"/>
            <w:rFonts w:ascii="Times New Roman" w:hAnsi="Times New Roman" w:cs="Times New Roman"/>
            <w:b/>
            <w:sz w:val="22"/>
            <w:szCs w:val="22"/>
          </w:rPr>
          <w:t>https://journals-sagepub-com.myaccess.library.utoronto.ca/doi/abs/10.1177/1744987107081254</w:t>
        </w:r>
      </w:hyperlink>
    </w:p>
    <w:p w:rsidR="005C6722" w:rsidRPr="00420DB9" w:rsidRDefault="005C6722"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Goodman, J. H. (2004). Coping With Trauma and Hardship Among Unaccompanied Refugee Youths From Sudan. </w:t>
      </w:r>
      <w:r w:rsidRPr="00420DB9">
        <w:rPr>
          <w:rFonts w:ascii="Times New Roman" w:hAnsi="Times New Roman" w:cs="Times New Roman"/>
          <w:i/>
          <w:iCs/>
          <w:sz w:val="22"/>
          <w:szCs w:val="22"/>
        </w:rPr>
        <w:t>Qualitative Health Research, 14</w:t>
      </w:r>
      <w:r w:rsidRPr="00420DB9">
        <w:rPr>
          <w:rFonts w:ascii="Times New Roman" w:hAnsi="Times New Roman" w:cs="Times New Roman"/>
          <w:sz w:val="22"/>
          <w:szCs w:val="22"/>
        </w:rPr>
        <w:t xml:space="preserve">, 1177-1196. </w:t>
      </w:r>
      <w:hyperlink r:id="rId52" w:history="1">
        <w:r w:rsidRPr="00420DB9">
          <w:rPr>
            <w:rFonts w:ascii="Times New Roman" w:hAnsi="Times New Roman" w:cs="Times New Roman"/>
            <w:color w:val="0000FF"/>
            <w:sz w:val="22"/>
            <w:szCs w:val="22"/>
          </w:rPr>
          <w:t>http://simplelink.library.utoronto.ca/url.cfm/377125</w:t>
        </w:r>
      </w:hyperlink>
      <w:r w:rsidRPr="00420DB9">
        <w:rPr>
          <w:rFonts w:ascii="Times New Roman" w:hAnsi="Times New Roman" w:cs="Times New Roman"/>
          <w:sz w:val="22"/>
          <w:szCs w:val="22"/>
        </w:rPr>
        <w:t xml:space="preserve"> </w:t>
      </w:r>
    </w:p>
    <w:p w:rsidR="005C6722" w:rsidRPr="00420DB9" w:rsidRDefault="005C6722"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Hayes, M., Ross, I.E., Gasher, M., et al. (2007). Telling stories: News media, health literacy and public policy in Canada. </w:t>
      </w:r>
      <w:r w:rsidRPr="00420DB9">
        <w:rPr>
          <w:rFonts w:ascii="Times New Roman" w:hAnsi="Times New Roman" w:cs="Times New Roman"/>
          <w:i/>
          <w:iCs/>
          <w:sz w:val="22"/>
          <w:szCs w:val="22"/>
        </w:rPr>
        <w:t>Social Science and Medicine, 64</w:t>
      </w:r>
      <w:r w:rsidRPr="00420DB9">
        <w:rPr>
          <w:rFonts w:ascii="Times New Roman" w:hAnsi="Times New Roman" w:cs="Times New Roman"/>
          <w:sz w:val="22"/>
          <w:szCs w:val="22"/>
        </w:rPr>
        <w:t xml:space="preserve">, 1842-1852.  </w:t>
      </w:r>
      <w:hyperlink r:id="rId53" w:history="1">
        <w:r w:rsidRPr="00420DB9">
          <w:rPr>
            <w:rFonts w:ascii="Times New Roman" w:hAnsi="Times New Roman" w:cs="Times New Roman"/>
            <w:color w:val="0000FF"/>
            <w:sz w:val="22"/>
            <w:szCs w:val="22"/>
          </w:rPr>
          <w:t>http://simplelink.library.utoronto.ca/url.cfm/292128</w:t>
        </w:r>
      </w:hyperlink>
      <w:r w:rsidRPr="00420DB9">
        <w:rPr>
          <w:rFonts w:ascii="Times New Roman" w:hAnsi="Times New Roman" w:cs="Times New Roman"/>
          <w:sz w:val="22"/>
          <w:szCs w:val="22"/>
        </w:rPr>
        <w:t xml:space="preserve"> </w:t>
      </w:r>
    </w:p>
    <w:p w:rsidR="005C6722" w:rsidRPr="00420DB9" w:rsidRDefault="005C6722"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MacIntosh, J., Wuest, J., Gray, M.M., &amp; Cronkhite, M. (2010). Workplace Bullying in Health Care Affects the Meaning of Work. </w:t>
      </w:r>
      <w:r w:rsidRPr="00420DB9">
        <w:rPr>
          <w:rFonts w:ascii="Times New Roman" w:hAnsi="Times New Roman" w:cs="Times New Roman"/>
          <w:i/>
          <w:iCs/>
          <w:sz w:val="22"/>
          <w:szCs w:val="22"/>
        </w:rPr>
        <w:t>Qualitative Health Research, 20</w:t>
      </w:r>
      <w:r w:rsidRPr="00420DB9">
        <w:rPr>
          <w:rFonts w:ascii="Times New Roman" w:hAnsi="Times New Roman" w:cs="Times New Roman"/>
          <w:sz w:val="22"/>
          <w:szCs w:val="22"/>
        </w:rPr>
        <w:t xml:space="preserve">, 1128-1141. </w:t>
      </w:r>
      <w:hyperlink r:id="rId54" w:history="1">
        <w:r w:rsidRPr="00420DB9">
          <w:rPr>
            <w:rFonts w:ascii="Times New Roman" w:hAnsi="Times New Roman" w:cs="Times New Roman"/>
            <w:color w:val="0000FF"/>
            <w:sz w:val="22"/>
            <w:szCs w:val="22"/>
          </w:rPr>
          <w:t>http://simplelink.library.utoronto.ca/url.cfm/377126</w:t>
        </w:r>
      </w:hyperlink>
      <w:r w:rsidRPr="00420DB9">
        <w:rPr>
          <w:rFonts w:ascii="Times New Roman" w:hAnsi="Times New Roman" w:cs="Times New Roman"/>
          <w:sz w:val="22"/>
          <w:szCs w:val="22"/>
        </w:rPr>
        <w:t xml:space="preserve"> </w:t>
      </w:r>
    </w:p>
    <w:p w:rsidR="005C6722" w:rsidRPr="00420DB9" w:rsidRDefault="005C6722"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Mykhalovskiy, E., &amp; McCoy, L. (2002). Troubling ruling discourses of health: using institutional ethnography in community-based research. </w:t>
      </w:r>
      <w:r w:rsidRPr="00420DB9">
        <w:rPr>
          <w:rFonts w:ascii="Times New Roman" w:hAnsi="Times New Roman" w:cs="Times New Roman"/>
          <w:i/>
          <w:iCs/>
          <w:sz w:val="22"/>
          <w:szCs w:val="22"/>
        </w:rPr>
        <w:t>Critical Public Health, 12</w:t>
      </w:r>
      <w:r w:rsidRPr="00420DB9">
        <w:rPr>
          <w:rFonts w:ascii="Times New Roman" w:hAnsi="Times New Roman" w:cs="Times New Roman"/>
          <w:sz w:val="22"/>
          <w:szCs w:val="22"/>
        </w:rPr>
        <w:t xml:space="preserve">, 17-37. </w:t>
      </w:r>
      <w:hyperlink r:id="rId55" w:history="1">
        <w:r w:rsidRPr="00420DB9">
          <w:rPr>
            <w:rFonts w:ascii="Times New Roman" w:hAnsi="Times New Roman" w:cs="Times New Roman"/>
            <w:color w:val="0000FF"/>
            <w:sz w:val="22"/>
            <w:szCs w:val="22"/>
          </w:rPr>
          <w:t>http://simplelink.library.utoronto.ca/url.cfm/377127</w:t>
        </w:r>
      </w:hyperlink>
      <w:r w:rsidRPr="00420DB9">
        <w:rPr>
          <w:rFonts w:ascii="Times New Roman" w:hAnsi="Times New Roman" w:cs="Times New Roman"/>
          <w:sz w:val="22"/>
          <w:szCs w:val="22"/>
        </w:rPr>
        <w:t xml:space="preserve"> </w:t>
      </w:r>
    </w:p>
    <w:p w:rsidR="002A7537" w:rsidRPr="00420DB9" w:rsidRDefault="002A7537"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Caelli, K., Ray, L. &amp; Mill, J. (2003). ‘Clear as Mud’: Toward a greater clarity in generic qualitative research. </w:t>
      </w:r>
      <w:r w:rsidRPr="00420DB9">
        <w:rPr>
          <w:rFonts w:ascii="Times New Roman" w:hAnsi="Times New Roman" w:cs="Times New Roman"/>
          <w:i/>
          <w:sz w:val="22"/>
          <w:szCs w:val="22"/>
        </w:rPr>
        <w:t>International Journal of Qualitative Methods,</w:t>
      </w:r>
      <w:r w:rsidRPr="00420DB9">
        <w:rPr>
          <w:rFonts w:ascii="Times New Roman" w:hAnsi="Times New Roman" w:cs="Times New Roman"/>
          <w:sz w:val="22"/>
          <w:szCs w:val="22"/>
        </w:rPr>
        <w:t xml:space="preserve"> 2 (2): 1-13. </w:t>
      </w:r>
      <w:hyperlink r:id="rId56" w:history="1">
        <w:r w:rsidRPr="00420DB9">
          <w:rPr>
            <w:rStyle w:val="Hyperlink"/>
            <w:rFonts w:ascii="Times New Roman" w:hAnsi="Times New Roman" w:cs="Times New Roman"/>
            <w:sz w:val="22"/>
            <w:szCs w:val="22"/>
          </w:rPr>
          <w:t>http://www.ualberta.ca/~iiqm/backissues/2_2/pdf/caellietal.pdf</w:t>
        </w:r>
      </w:hyperlink>
    </w:p>
    <w:p w:rsidR="002A7537" w:rsidRPr="00420DB9" w:rsidRDefault="002A7537" w:rsidP="00420DB9">
      <w:pPr>
        <w:widowControl w:val="0"/>
        <w:shd w:val="clear" w:color="auto" w:fill="FFFFFF"/>
        <w:spacing w:after="120" w:line="240" w:lineRule="auto"/>
        <w:rPr>
          <w:rFonts w:cs="Times New Roman"/>
        </w:rPr>
      </w:pPr>
      <w:r w:rsidRPr="00420DB9">
        <w:rPr>
          <w:rFonts w:cs="Times New Roman"/>
        </w:rPr>
        <w:t xml:space="preserve">Kahlke, R. (2014). Generic qualitative approaches: Pitfalls and benefits of methodological mixology. </w:t>
      </w:r>
      <w:r w:rsidRPr="00420DB9">
        <w:rPr>
          <w:rFonts w:cs="Times New Roman"/>
          <w:i/>
        </w:rPr>
        <w:t>International Journal of Qualitative Methods</w:t>
      </w:r>
      <w:r w:rsidRPr="00420DB9">
        <w:rPr>
          <w:rFonts w:cs="Times New Roman"/>
        </w:rPr>
        <w:t xml:space="preserve">, 13: 37-52 </w:t>
      </w:r>
      <w:hyperlink r:id="rId57" w:history="1">
        <w:r w:rsidRPr="00420DB9">
          <w:rPr>
            <w:rStyle w:val="Hyperlink"/>
            <w:rFonts w:cs="Times New Roman"/>
          </w:rPr>
          <w:t>https://ejournals.library.ualberta.ca/index.php/IJQM/article/view/19590/16141</w:t>
        </w:r>
      </w:hyperlink>
    </w:p>
    <w:p w:rsidR="00431771" w:rsidRPr="00420DB9" w:rsidRDefault="00431771" w:rsidP="00420DB9">
      <w:pPr>
        <w:widowControl w:val="0"/>
        <w:spacing w:after="120" w:line="240" w:lineRule="auto"/>
        <w:rPr>
          <w:rFonts w:cs="Times New Roman"/>
          <w:bCs/>
        </w:rPr>
      </w:pPr>
      <w:r w:rsidRPr="00420DB9">
        <w:rPr>
          <w:rFonts w:cs="Times New Roman"/>
          <w:bCs/>
        </w:rPr>
        <w:t xml:space="preserve">Gratton, M., O’Donnell, S. (2011) Communication technologies for focus groups with remote </w:t>
      </w:r>
      <w:r w:rsidRPr="00420DB9">
        <w:rPr>
          <w:rFonts w:cs="Times New Roman"/>
          <w:bCs/>
        </w:rPr>
        <w:lastRenderedPageBreak/>
        <w:t xml:space="preserve">communities: a case study of research with First Nations in Canada.  </w:t>
      </w:r>
      <w:r w:rsidRPr="00420DB9">
        <w:rPr>
          <w:rFonts w:cs="Times New Roman"/>
          <w:bCs/>
          <w:i/>
        </w:rPr>
        <w:t>Qualitative Research</w:t>
      </w:r>
      <w:r w:rsidRPr="00420DB9">
        <w:rPr>
          <w:rFonts w:cs="Times New Roman"/>
          <w:bCs/>
        </w:rPr>
        <w:t>, 11 (2): 159–175.</w:t>
      </w:r>
      <w:r w:rsidRPr="00420DB9">
        <w:rPr>
          <w:rFonts w:cs="Times New Roman"/>
        </w:rPr>
        <w:t xml:space="preserve"> </w:t>
      </w:r>
      <w:hyperlink r:id="rId58" w:history="1">
        <w:r w:rsidRPr="00420DB9">
          <w:rPr>
            <w:rStyle w:val="Hyperlink"/>
            <w:rFonts w:cs="Times New Roman"/>
            <w:bCs/>
          </w:rPr>
          <w:t>http://simplelink.library.utoronto.ca/url.cfm/507551</w:t>
        </w:r>
      </w:hyperlink>
      <w:r w:rsidRPr="00420DB9">
        <w:rPr>
          <w:rFonts w:cs="Times New Roman"/>
          <w:bCs/>
        </w:rPr>
        <w:t xml:space="preserve"> </w:t>
      </w:r>
    </w:p>
    <w:p w:rsidR="002A7537" w:rsidRPr="00420DB9" w:rsidRDefault="002A7537" w:rsidP="00420DB9">
      <w:pPr>
        <w:widowControl w:val="0"/>
        <w:spacing w:after="120" w:line="240" w:lineRule="auto"/>
        <w:rPr>
          <w:rFonts w:cs="Times New Roman"/>
          <w:bCs/>
        </w:rPr>
      </w:pPr>
      <w:r w:rsidRPr="00420DB9">
        <w:rPr>
          <w:rFonts w:cs="Times New Roman"/>
          <w:bCs/>
        </w:rPr>
        <w:t xml:space="preserve">Lopez, K. A. and Willis, D. G. (2004). Descriptive versus interpretive phenomenology: Their contributions to nursing knowledge. </w:t>
      </w:r>
      <w:r w:rsidRPr="00420DB9">
        <w:rPr>
          <w:rFonts w:cs="Times New Roman"/>
          <w:bCs/>
          <w:i/>
        </w:rPr>
        <w:t>Qualitative Health Research,</w:t>
      </w:r>
      <w:r w:rsidRPr="00420DB9">
        <w:rPr>
          <w:rFonts w:cs="Times New Roman"/>
          <w:bCs/>
        </w:rPr>
        <w:t xml:space="preserve"> 14 (5), 726-735. </w:t>
      </w:r>
      <w:hyperlink r:id="rId59" w:history="1">
        <w:r w:rsidRPr="00420DB9">
          <w:rPr>
            <w:rStyle w:val="Hyperlink"/>
            <w:rFonts w:cs="Times New Roman"/>
            <w:bCs/>
          </w:rPr>
          <w:t>http://simplelink.library.utoronto.ca/url.cfm/508293</w:t>
        </w:r>
      </w:hyperlink>
      <w:r w:rsidRPr="00420DB9">
        <w:rPr>
          <w:rFonts w:cs="Times New Roman"/>
          <w:bCs/>
        </w:rPr>
        <w:t xml:space="preserve"> </w:t>
      </w:r>
    </w:p>
    <w:p w:rsidR="002A7537" w:rsidRPr="00420DB9" w:rsidRDefault="002A7537" w:rsidP="00420DB9">
      <w:pPr>
        <w:widowControl w:val="0"/>
        <w:spacing w:after="120" w:line="240" w:lineRule="auto"/>
        <w:rPr>
          <w:rFonts w:cs="Times New Roman"/>
          <w:bCs/>
        </w:rPr>
      </w:pPr>
      <w:r w:rsidRPr="00420DB9">
        <w:rPr>
          <w:rFonts w:cs="Times New Roman"/>
          <w:bCs/>
        </w:rPr>
        <w:t xml:space="preserve">Glaser, B.G. (2002). Conceptualization: On theory and theorizing using grounded theory.  </w:t>
      </w:r>
      <w:r w:rsidRPr="00420DB9">
        <w:rPr>
          <w:rFonts w:cs="Times New Roman"/>
          <w:bCs/>
          <w:i/>
        </w:rPr>
        <w:t>International Journal of Qualitative Methods,</w:t>
      </w:r>
      <w:r w:rsidRPr="00420DB9">
        <w:rPr>
          <w:rFonts w:cs="Times New Roman"/>
          <w:bCs/>
        </w:rPr>
        <w:t xml:space="preserve"> 1 (2): 1-31.(PDF)</w:t>
      </w:r>
    </w:p>
    <w:p w:rsidR="00431771" w:rsidRPr="00420DB9" w:rsidRDefault="00431771" w:rsidP="00420DB9">
      <w:pPr>
        <w:widowControl w:val="0"/>
        <w:spacing w:after="120" w:line="240" w:lineRule="auto"/>
        <w:ind w:right="750"/>
        <w:rPr>
          <w:rStyle w:val="Hyperlink"/>
          <w:rFonts w:cs="Times New Roman"/>
        </w:rPr>
      </w:pPr>
      <w:r w:rsidRPr="00420DB9">
        <w:rPr>
          <w:rFonts w:cs="Times New Roman"/>
        </w:rPr>
        <w:t xml:space="preserve">Wallerstein, N.B. &amp; Duran, B. (2006). Using community-based participatory research to address health disparities. </w:t>
      </w:r>
      <w:r w:rsidRPr="00420DB9">
        <w:rPr>
          <w:rFonts w:cs="Times New Roman"/>
          <w:i/>
        </w:rPr>
        <w:t>Health Promotion Practice</w:t>
      </w:r>
      <w:r w:rsidRPr="00420DB9">
        <w:rPr>
          <w:rFonts w:cs="Times New Roman"/>
        </w:rPr>
        <w:t xml:space="preserve">, 7 (3), 312-323. </w:t>
      </w:r>
      <w:hyperlink r:id="rId60" w:history="1">
        <w:r w:rsidRPr="00420DB9">
          <w:rPr>
            <w:rStyle w:val="Hyperlink"/>
            <w:rFonts w:cs="Times New Roman"/>
          </w:rPr>
          <w:t>http://resolver.scholarsportal.info.myaccess.library.utoronto.ca/resolve/15248399/v07i0003/312_ucprtahd</w:t>
        </w:r>
      </w:hyperlink>
    </w:p>
    <w:p w:rsidR="002A7537" w:rsidRPr="00420DB9" w:rsidRDefault="002A7537" w:rsidP="00420DB9">
      <w:pPr>
        <w:spacing w:after="120" w:line="240" w:lineRule="auto"/>
        <w:rPr>
          <w:rFonts w:cs="Times New Roman"/>
        </w:rPr>
      </w:pPr>
    </w:p>
    <w:p w:rsidR="0066669F" w:rsidRPr="00420DB9" w:rsidRDefault="0066669F" w:rsidP="00420DB9">
      <w:pPr>
        <w:pStyle w:val="Heading3"/>
        <w:spacing w:before="0" w:after="120" w:line="240" w:lineRule="auto"/>
        <w:rPr>
          <w:rFonts w:ascii="Times New Roman" w:hAnsi="Times New Roman" w:cs="Times New Roman"/>
        </w:rPr>
      </w:pPr>
      <w:r w:rsidRPr="00420DB9">
        <w:rPr>
          <w:rFonts w:ascii="Times New Roman" w:hAnsi="Times New Roman" w:cs="Times New Roman"/>
        </w:rPr>
        <w:t xml:space="preserve">Week 9. </w:t>
      </w:r>
      <w:r w:rsidR="0013268F">
        <w:rPr>
          <w:rFonts w:ascii="Times New Roman" w:hAnsi="Times New Roman" w:cs="Times New Roman"/>
        </w:rPr>
        <w:t>Analytical Process ll</w:t>
      </w:r>
    </w:p>
    <w:p w:rsidR="0013268F" w:rsidRPr="0013268F" w:rsidRDefault="0013268F" w:rsidP="0013268F">
      <w:pPr>
        <w:shd w:val="clear" w:color="auto" w:fill="FFFFFF"/>
        <w:rPr>
          <w:rFonts w:cs="Times New Roman"/>
          <w:b/>
          <w:color w:val="222222"/>
        </w:rPr>
      </w:pPr>
      <w:r w:rsidRPr="0013268F">
        <w:rPr>
          <w:rFonts w:cs="Times New Roman"/>
          <w:b/>
          <w:color w:val="000000"/>
        </w:rPr>
        <w:t>Boeije, H. (2002). A purposeful approach to the constant comparative method in the analysis of qualitative interviews. </w:t>
      </w:r>
      <w:r w:rsidRPr="0013268F">
        <w:rPr>
          <w:rFonts w:cs="Times New Roman"/>
          <w:b/>
          <w:i/>
          <w:iCs/>
          <w:color w:val="000000"/>
        </w:rPr>
        <w:t>Quality and Quantity, 36</w:t>
      </w:r>
      <w:r w:rsidRPr="0013268F">
        <w:rPr>
          <w:rFonts w:cs="Times New Roman"/>
          <w:b/>
          <w:color w:val="000000"/>
        </w:rPr>
        <w:t>. 391-409.</w:t>
      </w:r>
      <w:r w:rsidRPr="0013268F">
        <w:rPr>
          <w:rFonts w:cs="Times New Roman"/>
          <w:b/>
          <w:color w:val="222222"/>
        </w:rPr>
        <w:t> </w:t>
      </w:r>
    </w:p>
    <w:p w:rsidR="0013268F" w:rsidRPr="0013268F" w:rsidRDefault="0013268F" w:rsidP="0013268F">
      <w:pPr>
        <w:shd w:val="clear" w:color="auto" w:fill="FFFFFF"/>
        <w:spacing w:line="235" w:lineRule="atLeast"/>
        <w:rPr>
          <w:rFonts w:cs="Times New Roman"/>
          <w:b/>
          <w:color w:val="222222"/>
        </w:rPr>
      </w:pPr>
      <w:r w:rsidRPr="0013268F">
        <w:rPr>
          <w:rFonts w:cs="Times New Roman"/>
          <w:b/>
          <w:color w:val="222222"/>
        </w:rPr>
        <w:t>Pamphilon B (1999) The Zoom model: A dynamic framework for the analysis of life histories. Qualitative Inquiry 5: 393–410.  </w:t>
      </w:r>
    </w:p>
    <w:p w:rsidR="00431771" w:rsidRPr="00420DB9" w:rsidRDefault="00431771"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Braun, V., &amp; Clarke, V. (2006). Using thematic analysis in psychology. </w:t>
      </w:r>
      <w:r w:rsidRPr="00420DB9">
        <w:rPr>
          <w:rFonts w:ascii="Times New Roman" w:hAnsi="Times New Roman" w:cs="Times New Roman"/>
          <w:i/>
          <w:iCs/>
          <w:sz w:val="22"/>
          <w:szCs w:val="22"/>
        </w:rPr>
        <w:t>Qualitative Research in Psychology, 3</w:t>
      </w:r>
      <w:r w:rsidRPr="00420DB9">
        <w:rPr>
          <w:rFonts w:ascii="Times New Roman" w:hAnsi="Times New Roman" w:cs="Times New Roman"/>
          <w:sz w:val="22"/>
          <w:szCs w:val="22"/>
        </w:rPr>
        <w:t xml:space="preserve">, 77-101. </w:t>
      </w:r>
      <w:hyperlink r:id="rId61" w:history="1">
        <w:r w:rsidRPr="00420DB9">
          <w:rPr>
            <w:rFonts w:ascii="Times New Roman" w:hAnsi="Times New Roman" w:cs="Times New Roman"/>
            <w:color w:val="0000FF"/>
            <w:sz w:val="22"/>
            <w:szCs w:val="22"/>
          </w:rPr>
          <w:t>http://uoft.me/2Tr</w:t>
        </w:r>
      </w:hyperlink>
      <w:r w:rsidRPr="00420DB9">
        <w:rPr>
          <w:rFonts w:ascii="Times New Roman" w:hAnsi="Times New Roman" w:cs="Times New Roman"/>
          <w:sz w:val="22"/>
          <w:szCs w:val="22"/>
        </w:rPr>
        <w:t xml:space="preserve">  </w:t>
      </w:r>
    </w:p>
    <w:p w:rsidR="00431771" w:rsidRPr="00420DB9" w:rsidRDefault="00431771"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Moylan, C. A., Derr, A. S., &amp; Lindhorst, T. (2015). Increasingly mobile: How new technologies can enhance qualitative research. Qualitative Social Work, 14(1), 36-47. </w:t>
      </w:r>
      <w:hyperlink r:id="rId62" w:history="1">
        <w:r w:rsidRPr="00420DB9">
          <w:rPr>
            <w:rFonts w:ascii="Times New Roman" w:hAnsi="Times New Roman" w:cs="Times New Roman"/>
            <w:color w:val="0000FF"/>
            <w:sz w:val="22"/>
            <w:szCs w:val="22"/>
          </w:rPr>
          <w:t>http://uoft.me/2SQ</w:t>
        </w:r>
      </w:hyperlink>
      <w:r w:rsidRPr="00420DB9">
        <w:rPr>
          <w:rFonts w:ascii="Times New Roman" w:hAnsi="Times New Roman" w:cs="Times New Roman"/>
          <w:sz w:val="22"/>
          <w:szCs w:val="22"/>
        </w:rPr>
        <w:t xml:space="preserve">  </w:t>
      </w:r>
    </w:p>
    <w:p w:rsidR="00431771" w:rsidRPr="00420DB9" w:rsidRDefault="00431771"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Bazeley, P. (2009). Analyzing qualitative data: More than ‘identifying themes’. </w:t>
      </w:r>
      <w:r w:rsidRPr="00420DB9">
        <w:rPr>
          <w:rFonts w:ascii="Times New Roman" w:hAnsi="Times New Roman" w:cs="Times New Roman"/>
          <w:i/>
          <w:sz w:val="22"/>
          <w:szCs w:val="22"/>
        </w:rPr>
        <w:t xml:space="preserve">Malaysian Journal of Qualitative Research, </w:t>
      </w:r>
      <w:r w:rsidRPr="00420DB9">
        <w:rPr>
          <w:rFonts w:ascii="Times New Roman" w:hAnsi="Times New Roman" w:cs="Times New Roman"/>
          <w:sz w:val="22"/>
          <w:szCs w:val="22"/>
        </w:rPr>
        <w:t>2, 6-22.</w:t>
      </w:r>
    </w:p>
    <w:p w:rsidR="00431771" w:rsidRPr="00420DB9" w:rsidRDefault="005318B5" w:rsidP="00420DB9">
      <w:pPr>
        <w:spacing w:after="120" w:line="240" w:lineRule="auto"/>
        <w:ind w:right="334"/>
        <w:rPr>
          <w:rFonts w:cs="Times New Roman"/>
        </w:rPr>
      </w:pPr>
      <w:hyperlink r:id="rId63" w:history="1">
        <w:r w:rsidR="00431771" w:rsidRPr="00420DB9">
          <w:rPr>
            <w:rStyle w:val="Hyperlink"/>
            <w:rFonts w:cs="Times New Roman"/>
          </w:rPr>
          <w:t>http://jayneglass.weebly.com/uploads/3/7/9/9/3799002/more_than_themes.pdf</w:t>
        </w:r>
      </w:hyperlink>
    </w:p>
    <w:p w:rsidR="00431771" w:rsidRPr="00420DB9" w:rsidRDefault="00431771" w:rsidP="00420DB9">
      <w:pPr>
        <w:spacing w:after="120" w:line="240" w:lineRule="auto"/>
        <w:ind w:right="150"/>
        <w:rPr>
          <w:rFonts w:cs="Times New Roman"/>
        </w:rPr>
      </w:pPr>
      <w:r w:rsidRPr="00420DB9">
        <w:rPr>
          <w:rFonts w:cs="Times New Roman"/>
        </w:rPr>
        <w:t xml:space="preserve">Thomas, J., &amp; Harden, A. (2008). Methods for the thematic synthesis of qualitative research in systematic reviews. </w:t>
      </w:r>
      <w:r w:rsidRPr="00420DB9">
        <w:rPr>
          <w:rFonts w:cs="Times New Roman"/>
          <w:i/>
        </w:rPr>
        <w:t>BMC Medical Research Methodology, 8</w:t>
      </w:r>
      <w:r w:rsidRPr="00420DB9">
        <w:rPr>
          <w:rFonts w:cs="Times New Roman"/>
        </w:rPr>
        <w:t xml:space="preserve">:45, 1-10. </w:t>
      </w:r>
      <w:hyperlink r:id="rId64" w:history="1">
        <w:r w:rsidRPr="00420DB9">
          <w:rPr>
            <w:rStyle w:val="Hyperlink"/>
            <w:rFonts w:cs="Times New Roman"/>
          </w:rPr>
          <w:t>http://bmcmedresmethodol.biomedcentral.com/articles/10.1186/1471-2288-8-45</w:t>
        </w:r>
      </w:hyperlink>
      <w:r w:rsidRPr="00420DB9">
        <w:rPr>
          <w:rFonts w:cs="Times New Roman"/>
        </w:rPr>
        <w:t xml:space="preserve"> </w:t>
      </w:r>
    </w:p>
    <w:p w:rsidR="00431771" w:rsidRPr="00420DB9" w:rsidRDefault="00431771" w:rsidP="00420DB9">
      <w:pPr>
        <w:widowControl w:val="0"/>
        <w:spacing w:after="120" w:line="240" w:lineRule="auto"/>
        <w:ind w:right="1087"/>
        <w:rPr>
          <w:rFonts w:cs="Times New Roman"/>
        </w:rPr>
      </w:pPr>
      <w:r w:rsidRPr="00420DB9">
        <w:rPr>
          <w:rFonts w:cs="Times New Roman"/>
        </w:rPr>
        <w:t xml:space="preserve">Thorne, S., Jensen, L., Kearney, M., Noblit, G. &amp; Sandelowski, M. (2004). Qualitative metasynthesis: Reflections on methodological orientation and ideological agenda. </w:t>
      </w:r>
      <w:r w:rsidRPr="00420DB9">
        <w:rPr>
          <w:rFonts w:cs="Times New Roman"/>
          <w:i/>
        </w:rPr>
        <w:t>Qualitative Health Research</w:t>
      </w:r>
      <w:r w:rsidRPr="00420DB9">
        <w:rPr>
          <w:rFonts w:cs="Times New Roman"/>
        </w:rPr>
        <w:t xml:space="preserve">, </w:t>
      </w:r>
      <w:r w:rsidRPr="00420DB9">
        <w:rPr>
          <w:rFonts w:cs="Times New Roman"/>
          <w:i/>
        </w:rPr>
        <w:t>14</w:t>
      </w:r>
      <w:r w:rsidRPr="00420DB9">
        <w:rPr>
          <w:rFonts w:cs="Times New Roman"/>
        </w:rPr>
        <w:t xml:space="preserve"> (10), 1342-1365. </w:t>
      </w:r>
    </w:p>
    <w:p w:rsidR="00431771" w:rsidRPr="00420DB9" w:rsidRDefault="005318B5" w:rsidP="00420DB9">
      <w:pPr>
        <w:widowControl w:val="0"/>
        <w:spacing w:after="120" w:line="240" w:lineRule="auto"/>
        <w:ind w:right="1087"/>
        <w:rPr>
          <w:rFonts w:cs="Times New Roman"/>
        </w:rPr>
      </w:pPr>
      <w:hyperlink r:id="rId65" w:history="1">
        <w:r w:rsidR="00431771" w:rsidRPr="00420DB9">
          <w:rPr>
            <w:rStyle w:val="Hyperlink"/>
            <w:rFonts w:cs="Times New Roman"/>
          </w:rPr>
          <w:t>http://resolver.scholarsportal.info.myaccess.library.utoronto.ca/resolve/10497323/v14i0010/1342_qmromoaia</w:t>
        </w:r>
      </w:hyperlink>
    </w:p>
    <w:p w:rsidR="00431771" w:rsidRPr="00420DB9" w:rsidRDefault="00431771" w:rsidP="00420DB9">
      <w:pPr>
        <w:spacing w:after="120" w:line="240" w:lineRule="auto"/>
        <w:rPr>
          <w:rFonts w:cs="Times New Roman"/>
        </w:rPr>
      </w:pPr>
    </w:p>
    <w:p w:rsidR="0066669F" w:rsidRPr="00420DB9" w:rsidRDefault="0066669F" w:rsidP="00420DB9">
      <w:pPr>
        <w:pStyle w:val="Heading3"/>
        <w:spacing w:before="0" w:after="120" w:line="240" w:lineRule="auto"/>
        <w:rPr>
          <w:rFonts w:ascii="Times New Roman" w:hAnsi="Times New Roman" w:cs="Times New Roman"/>
        </w:rPr>
      </w:pPr>
      <w:r w:rsidRPr="00420DB9">
        <w:rPr>
          <w:rFonts w:ascii="Times New Roman" w:hAnsi="Times New Roman" w:cs="Times New Roman"/>
        </w:rPr>
        <w:t>Week 10. Ethics of Qualitative Research and Power Relations</w:t>
      </w:r>
    </w:p>
    <w:p w:rsidR="002A7537" w:rsidRPr="00420DB9" w:rsidRDefault="002A7537" w:rsidP="00420DB9">
      <w:pPr>
        <w:spacing w:after="120" w:line="240" w:lineRule="auto"/>
        <w:rPr>
          <w:rFonts w:cs="Times New Roman"/>
        </w:rPr>
      </w:pPr>
      <w:r w:rsidRPr="001509F4">
        <w:rPr>
          <w:rFonts w:cs="Times New Roman"/>
          <w:b/>
        </w:rPr>
        <w:t>Forbat, L. &amp; Henderson, J (2003). “Stuck in the middle with you”: The ethics and process of qualitative research with two people in an intimate relationship</w:t>
      </w:r>
      <w:r w:rsidRPr="00420DB9">
        <w:rPr>
          <w:rFonts w:cs="Times New Roman"/>
        </w:rPr>
        <w:t xml:space="preserve">. </w:t>
      </w:r>
      <w:r w:rsidRPr="00420DB9">
        <w:rPr>
          <w:rFonts w:cs="Times New Roman"/>
          <w:i/>
        </w:rPr>
        <w:t>Qualitative Health Research</w:t>
      </w:r>
      <w:r w:rsidRPr="00420DB9">
        <w:rPr>
          <w:rFonts w:cs="Times New Roman"/>
        </w:rPr>
        <w:t xml:space="preserve">, 13 (10), 1453-1462. </w:t>
      </w:r>
      <w:hyperlink r:id="rId66" w:history="1">
        <w:r w:rsidRPr="00420DB9">
          <w:rPr>
            <w:rStyle w:val="Hyperlink"/>
            <w:rFonts w:cs="Times New Roman"/>
          </w:rPr>
          <w:t>http://qhr.sagepub.com.myaccess.library.utoronto.ca/content/13/10/1453.full.pdf+html</w:t>
        </w:r>
      </w:hyperlink>
    </w:p>
    <w:p w:rsidR="00E47143" w:rsidRPr="00420DB9" w:rsidRDefault="00E47143" w:rsidP="00E47143">
      <w:pPr>
        <w:pStyle w:val="Default"/>
        <w:spacing w:after="120"/>
        <w:rPr>
          <w:rFonts w:ascii="Times New Roman" w:hAnsi="Times New Roman" w:cs="Times New Roman"/>
          <w:sz w:val="22"/>
          <w:szCs w:val="22"/>
        </w:rPr>
      </w:pPr>
      <w:r w:rsidRPr="001509F4">
        <w:rPr>
          <w:rFonts w:ascii="Times New Roman" w:hAnsi="Times New Roman" w:cs="Times New Roman"/>
          <w:b/>
          <w:sz w:val="22"/>
          <w:szCs w:val="22"/>
        </w:rPr>
        <w:t>Peter, E. (2015). The ethics in qualitative health research: special considerations</w:t>
      </w:r>
      <w:r w:rsidRPr="00420DB9">
        <w:rPr>
          <w:rFonts w:ascii="Times New Roman" w:hAnsi="Times New Roman" w:cs="Times New Roman"/>
          <w:sz w:val="22"/>
          <w:szCs w:val="22"/>
        </w:rPr>
        <w:t xml:space="preserve">. Ciência &amp; Saúde Coletiva, 20(9), 2625-2630. </w:t>
      </w:r>
      <w:hyperlink r:id="rId67" w:history="1">
        <w:r w:rsidRPr="00420DB9">
          <w:rPr>
            <w:rFonts w:ascii="Times New Roman" w:hAnsi="Times New Roman" w:cs="Times New Roman"/>
            <w:color w:val="0000FF"/>
            <w:sz w:val="22"/>
            <w:szCs w:val="22"/>
          </w:rPr>
          <w:t>http://simplelink.library.utoronto.ca/url.cfm/522026</w:t>
        </w:r>
      </w:hyperlink>
      <w:r w:rsidRPr="00420DB9">
        <w:rPr>
          <w:rFonts w:ascii="Times New Roman" w:hAnsi="Times New Roman" w:cs="Times New Roman"/>
          <w:sz w:val="22"/>
          <w:szCs w:val="22"/>
        </w:rPr>
        <w:t xml:space="preserve">  </w:t>
      </w:r>
    </w:p>
    <w:p w:rsidR="002A7537" w:rsidRPr="00420DB9" w:rsidRDefault="002A7537" w:rsidP="00420DB9">
      <w:pPr>
        <w:widowControl w:val="0"/>
        <w:shd w:val="clear" w:color="auto" w:fill="FFFFFF"/>
        <w:spacing w:after="120" w:line="240" w:lineRule="auto"/>
        <w:rPr>
          <w:rFonts w:cs="Times New Roman"/>
        </w:rPr>
      </w:pPr>
      <w:r w:rsidRPr="00420DB9">
        <w:rPr>
          <w:rFonts w:cs="Times New Roman"/>
        </w:rPr>
        <w:t xml:space="preserve">Guillemin, M. &amp; Gillam, L. (2004). Ethics, reflexivity and “ethically important moments” in research. </w:t>
      </w:r>
      <w:r w:rsidRPr="00420DB9">
        <w:rPr>
          <w:rFonts w:cs="Times New Roman"/>
          <w:i/>
        </w:rPr>
        <w:t>Qualitative Inquiry,</w:t>
      </w:r>
      <w:r w:rsidRPr="00420DB9">
        <w:rPr>
          <w:rFonts w:cs="Times New Roman"/>
        </w:rPr>
        <w:t xml:space="preserve"> 10 (2): 261-280. </w:t>
      </w:r>
      <w:hyperlink r:id="rId68" w:history="1">
        <w:r w:rsidRPr="00420DB9">
          <w:rPr>
            <w:rStyle w:val="Hyperlink"/>
            <w:rFonts w:cs="Times New Roman"/>
          </w:rPr>
          <w:t>http://qix.sagepub.com/content/10/2/261.short?rss=1&amp;ssource=mfc</w:t>
        </w:r>
      </w:hyperlink>
    </w:p>
    <w:p w:rsidR="002A7537" w:rsidRPr="00420DB9" w:rsidRDefault="002A7537" w:rsidP="00420DB9">
      <w:pPr>
        <w:widowControl w:val="0"/>
        <w:shd w:val="clear" w:color="auto" w:fill="FFFFFF"/>
        <w:spacing w:after="120" w:line="240" w:lineRule="auto"/>
        <w:rPr>
          <w:rFonts w:cs="Times New Roman"/>
        </w:rPr>
      </w:pPr>
      <w:r w:rsidRPr="00420DB9">
        <w:rPr>
          <w:rFonts w:cs="Times New Roman"/>
        </w:rPr>
        <w:lastRenderedPageBreak/>
        <w:t xml:space="preserve">Dickson-Swift, V., James, E. L., Kippen, S., &amp; Liamputtong, P. (2006). Blurring boundaries in qualitative health research on sensitive topics. </w:t>
      </w:r>
      <w:r w:rsidRPr="00420DB9">
        <w:rPr>
          <w:rFonts w:cs="Times New Roman"/>
          <w:i/>
        </w:rPr>
        <w:t>Qualitative Health Research,</w:t>
      </w:r>
      <w:r w:rsidRPr="00420DB9">
        <w:rPr>
          <w:rFonts w:cs="Times New Roman"/>
        </w:rPr>
        <w:t xml:space="preserve"> 16(6), 853-871.</w:t>
      </w:r>
    </w:p>
    <w:p w:rsidR="002A7537" w:rsidRPr="00420DB9" w:rsidRDefault="005318B5" w:rsidP="00420DB9">
      <w:pPr>
        <w:widowControl w:val="0"/>
        <w:shd w:val="clear" w:color="auto" w:fill="FFFFFF"/>
        <w:spacing w:after="120" w:line="240" w:lineRule="auto"/>
        <w:rPr>
          <w:rFonts w:cs="Times New Roman"/>
        </w:rPr>
      </w:pPr>
      <w:hyperlink r:id="rId69" w:history="1">
        <w:r w:rsidR="002A7537" w:rsidRPr="00420DB9">
          <w:rPr>
            <w:rStyle w:val="Hyperlink"/>
            <w:rFonts w:cs="Times New Roman"/>
          </w:rPr>
          <w:t>http://simplelink.library.utoronto.ca/url.cfm/480140</w:t>
        </w:r>
      </w:hyperlink>
    </w:p>
    <w:p w:rsidR="002A7537" w:rsidRPr="00420DB9" w:rsidRDefault="002A7537" w:rsidP="00420DB9">
      <w:pPr>
        <w:widowControl w:val="0"/>
        <w:shd w:val="clear" w:color="auto" w:fill="FFFFFF"/>
        <w:spacing w:after="120" w:line="240" w:lineRule="auto"/>
        <w:rPr>
          <w:rFonts w:cs="Times New Roman"/>
        </w:rPr>
      </w:pPr>
      <w:r w:rsidRPr="00420DB9">
        <w:rPr>
          <w:rFonts w:cs="Times New Roman"/>
        </w:rPr>
        <w:t xml:space="preserve">Ramcharan, P. and Cutcliffe, J. (2001). Judging the ethics of qualitative research: considering ‘ethics as process’ model. </w:t>
      </w:r>
      <w:r w:rsidRPr="00420DB9">
        <w:rPr>
          <w:rFonts w:cs="Times New Roman"/>
          <w:i/>
        </w:rPr>
        <w:t>Health and Social Care in the Community</w:t>
      </w:r>
      <w:r w:rsidRPr="00420DB9">
        <w:rPr>
          <w:rFonts w:cs="Times New Roman"/>
        </w:rPr>
        <w:t xml:space="preserve">, 9 (6): 358-366 </w:t>
      </w:r>
      <w:hyperlink r:id="rId70" w:history="1">
        <w:r w:rsidRPr="00420DB9">
          <w:rPr>
            <w:rStyle w:val="Hyperlink"/>
            <w:rFonts w:cs="Times New Roman"/>
          </w:rPr>
          <w:t>http://resolver.scholarsportal.info.myaccess.library.utoronto.ca/resolve/09660410/v09i0006/358_jteoqrctapm.xml</w:t>
        </w:r>
      </w:hyperlink>
    </w:p>
    <w:p w:rsidR="002A7537" w:rsidRPr="00420DB9" w:rsidRDefault="002A7537" w:rsidP="00420DB9">
      <w:pPr>
        <w:widowControl w:val="0"/>
        <w:shd w:val="clear" w:color="auto" w:fill="FFFFFF"/>
        <w:spacing w:after="120" w:line="240" w:lineRule="auto"/>
        <w:rPr>
          <w:rFonts w:cs="Times New Roman"/>
          <w:i/>
        </w:rPr>
      </w:pPr>
      <w:r w:rsidRPr="00420DB9">
        <w:rPr>
          <w:rFonts w:cs="Times New Roman"/>
        </w:rPr>
        <w:t xml:space="preserve">Interagency Advisory Panel on Research Ethics (2010). Chapter 10: Qualitative Research. In </w:t>
      </w:r>
      <w:r w:rsidRPr="00420DB9">
        <w:rPr>
          <w:rFonts w:cs="Times New Roman"/>
          <w:i/>
        </w:rPr>
        <w:t xml:space="preserve">Tri-Council Policy Statement: Ethical Conduct for Research Involving Humans </w:t>
      </w:r>
      <w:r w:rsidRPr="00420DB9">
        <w:rPr>
          <w:rFonts w:cs="Times New Roman"/>
          <w:b/>
        </w:rPr>
        <w:t>(read only pp. 1-3)</w:t>
      </w:r>
      <w:r w:rsidRPr="00420DB9">
        <w:rPr>
          <w:rFonts w:cs="Times New Roman"/>
          <w:i/>
        </w:rPr>
        <w:t>.</w:t>
      </w:r>
      <w:r w:rsidRPr="00420DB9">
        <w:rPr>
          <w:rFonts w:cs="Times New Roman"/>
        </w:rPr>
        <w:t xml:space="preserve"> </w:t>
      </w:r>
      <w:hyperlink r:id="rId71" w:history="1">
        <w:r w:rsidRPr="00420DB9">
          <w:rPr>
            <w:rStyle w:val="Hyperlink"/>
            <w:rFonts w:cs="Times New Roman"/>
            <w:i/>
          </w:rPr>
          <w:t>http://www.pre.ethics.gc.ca/eng/policy-politique/initiatives/tcps2-eptc2/chapter10-chapitre10/</w:t>
        </w:r>
      </w:hyperlink>
    </w:p>
    <w:p w:rsidR="005C6722" w:rsidRPr="00420DB9" w:rsidRDefault="005C6722" w:rsidP="00420DB9">
      <w:pPr>
        <w:pStyle w:val="Default"/>
        <w:spacing w:after="120"/>
        <w:rPr>
          <w:rFonts w:ascii="Times New Roman" w:hAnsi="Times New Roman" w:cs="Times New Roman"/>
          <w:i/>
          <w:sz w:val="22"/>
          <w:szCs w:val="22"/>
        </w:rPr>
      </w:pPr>
    </w:p>
    <w:p w:rsidR="00F93507" w:rsidRDefault="00F93507" w:rsidP="00F93507">
      <w:pPr>
        <w:pStyle w:val="Heading3"/>
      </w:pPr>
      <w:r>
        <w:t xml:space="preserve">Week 11. </w:t>
      </w:r>
      <w:r w:rsidR="00D127AA">
        <w:t>Critically Readig Qualitative Research</w:t>
      </w:r>
    </w:p>
    <w:p w:rsidR="00D127AA" w:rsidRPr="00D127AA" w:rsidRDefault="00D127AA" w:rsidP="00D127AA">
      <w:pPr>
        <w:widowControl w:val="0"/>
        <w:spacing w:after="120" w:line="240" w:lineRule="auto"/>
        <w:ind w:right="235"/>
        <w:rPr>
          <w:rFonts w:cs="Times New Roman"/>
          <w:color w:val="0000FF"/>
          <w:u w:val="single" w:color="0000FF"/>
        </w:rPr>
      </w:pPr>
      <w:r w:rsidRPr="00D127AA">
        <w:rPr>
          <w:rFonts w:cs="Times New Roman"/>
          <w:b/>
        </w:rPr>
        <w:t>Eakin,</w:t>
      </w:r>
      <w:r w:rsidRPr="00D127AA">
        <w:rPr>
          <w:rFonts w:cs="Times New Roman"/>
          <w:b/>
          <w:spacing w:val="-5"/>
        </w:rPr>
        <w:t xml:space="preserve"> </w:t>
      </w:r>
      <w:r w:rsidRPr="00D127AA">
        <w:rPr>
          <w:rFonts w:cs="Times New Roman"/>
          <w:b/>
        </w:rPr>
        <w:t>J.M. &amp;</w:t>
      </w:r>
      <w:r w:rsidRPr="00D127AA">
        <w:rPr>
          <w:rFonts w:cs="Times New Roman"/>
          <w:b/>
          <w:spacing w:val="-3"/>
        </w:rPr>
        <w:t xml:space="preserve"> </w:t>
      </w:r>
      <w:r w:rsidRPr="00D127AA">
        <w:rPr>
          <w:rFonts w:cs="Times New Roman"/>
          <w:b/>
        </w:rPr>
        <w:t>Mykhalovsk</w:t>
      </w:r>
      <w:r w:rsidRPr="00D127AA">
        <w:rPr>
          <w:rFonts w:cs="Times New Roman"/>
          <w:b/>
          <w:spacing w:val="-1"/>
        </w:rPr>
        <w:t>i</w:t>
      </w:r>
      <w:r w:rsidRPr="00D127AA">
        <w:rPr>
          <w:rFonts w:cs="Times New Roman"/>
          <w:b/>
        </w:rPr>
        <w:t>y,</w:t>
      </w:r>
      <w:r w:rsidRPr="00D127AA">
        <w:rPr>
          <w:rFonts w:cs="Times New Roman"/>
          <w:b/>
          <w:spacing w:val="-14"/>
        </w:rPr>
        <w:t xml:space="preserve"> </w:t>
      </w:r>
      <w:r w:rsidRPr="00D127AA">
        <w:rPr>
          <w:rFonts w:cs="Times New Roman"/>
          <w:b/>
        </w:rPr>
        <w:t>E.</w:t>
      </w:r>
      <w:r w:rsidRPr="00D127AA">
        <w:rPr>
          <w:rFonts w:cs="Times New Roman"/>
          <w:b/>
          <w:spacing w:val="-2"/>
        </w:rPr>
        <w:t xml:space="preserve"> </w:t>
      </w:r>
      <w:r w:rsidRPr="00D127AA">
        <w:rPr>
          <w:rFonts w:cs="Times New Roman"/>
          <w:b/>
        </w:rPr>
        <w:t>(2003).</w:t>
      </w:r>
      <w:r w:rsidRPr="00D127AA">
        <w:rPr>
          <w:rFonts w:cs="Times New Roman"/>
          <w:b/>
          <w:spacing w:val="-6"/>
        </w:rPr>
        <w:t xml:space="preserve"> </w:t>
      </w:r>
      <w:r w:rsidRPr="00D127AA">
        <w:rPr>
          <w:rFonts w:cs="Times New Roman"/>
          <w:b/>
        </w:rPr>
        <w:t>Refra</w:t>
      </w:r>
      <w:r w:rsidRPr="00D127AA">
        <w:rPr>
          <w:rFonts w:cs="Times New Roman"/>
          <w:b/>
          <w:spacing w:val="-2"/>
        </w:rPr>
        <w:t>m</w:t>
      </w:r>
      <w:r w:rsidRPr="00D127AA">
        <w:rPr>
          <w:rFonts w:cs="Times New Roman"/>
          <w:b/>
        </w:rPr>
        <w:t>ing</w:t>
      </w:r>
      <w:r w:rsidRPr="00D127AA">
        <w:rPr>
          <w:rFonts w:cs="Times New Roman"/>
          <w:b/>
          <w:spacing w:val="-9"/>
        </w:rPr>
        <w:t xml:space="preserve"> </w:t>
      </w:r>
      <w:r w:rsidRPr="00D127AA">
        <w:rPr>
          <w:rFonts w:cs="Times New Roman"/>
          <w:b/>
        </w:rPr>
        <w:t>the</w:t>
      </w:r>
      <w:r w:rsidRPr="00D127AA">
        <w:rPr>
          <w:rFonts w:cs="Times New Roman"/>
          <w:b/>
          <w:spacing w:val="-3"/>
        </w:rPr>
        <w:t xml:space="preserve"> </w:t>
      </w:r>
      <w:r w:rsidRPr="00D127AA">
        <w:rPr>
          <w:rFonts w:cs="Times New Roman"/>
          <w:b/>
        </w:rPr>
        <w:t>eva</w:t>
      </w:r>
      <w:r w:rsidRPr="00D127AA">
        <w:rPr>
          <w:rFonts w:cs="Times New Roman"/>
          <w:b/>
          <w:spacing w:val="-1"/>
        </w:rPr>
        <w:t>l</w:t>
      </w:r>
      <w:r w:rsidRPr="00D127AA">
        <w:rPr>
          <w:rFonts w:cs="Times New Roman"/>
          <w:b/>
        </w:rPr>
        <w:t>uation</w:t>
      </w:r>
      <w:r w:rsidRPr="00D127AA">
        <w:rPr>
          <w:rFonts w:cs="Times New Roman"/>
          <w:b/>
          <w:spacing w:val="-9"/>
        </w:rPr>
        <w:t xml:space="preserve"> </w:t>
      </w:r>
      <w:r w:rsidRPr="00D127AA">
        <w:rPr>
          <w:rFonts w:cs="Times New Roman"/>
          <w:b/>
        </w:rPr>
        <w:t>of</w:t>
      </w:r>
      <w:r w:rsidRPr="00D127AA">
        <w:rPr>
          <w:rFonts w:cs="Times New Roman"/>
          <w:b/>
          <w:spacing w:val="-3"/>
        </w:rPr>
        <w:t xml:space="preserve"> </w:t>
      </w:r>
      <w:r w:rsidRPr="00D127AA">
        <w:rPr>
          <w:rFonts w:cs="Times New Roman"/>
          <w:b/>
        </w:rPr>
        <w:t>qualitative</w:t>
      </w:r>
      <w:r w:rsidRPr="00D127AA">
        <w:rPr>
          <w:rFonts w:cs="Times New Roman"/>
          <w:b/>
          <w:spacing w:val="-9"/>
        </w:rPr>
        <w:t xml:space="preserve"> </w:t>
      </w:r>
      <w:r w:rsidRPr="00D127AA">
        <w:rPr>
          <w:rFonts w:cs="Times New Roman"/>
          <w:b/>
        </w:rPr>
        <w:t>health</w:t>
      </w:r>
      <w:r w:rsidRPr="00D127AA">
        <w:rPr>
          <w:rFonts w:cs="Times New Roman"/>
          <w:b/>
          <w:spacing w:val="-5"/>
        </w:rPr>
        <w:t xml:space="preserve"> </w:t>
      </w:r>
      <w:r w:rsidRPr="00D127AA">
        <w:rPr>
          <w:rFonts w:cs="Times New Roman"/>
          <w:b/>
        </w:rPr>
        <w:t>research:</w:t>
      </w:r>
      <w:r w:rsidRPr="00D127AA">
        <w:rPr>
          <w:rFonts w:cs="Times New Roman"/>
          <w:b/>
          <w:spacing w:val="-8"/>
        </w:rPr>
        <w:t xml:space="preserve"> </w:t>
      </w:r>
      <w:r w:rsidRPr="00D127AA">
        <w:rPr>
          <w:rFonts w:cs="Times New Roman"/>
          <w:b/>
          <w:spacing w:val="1"/>
        </w:rPr>
        <w:t>R</w:t>
      </w:r>
      <w:r w:rsidRPr="00D127AA">
        <w:rPr>
          <w:rFonts w:cs="Times New Roman"/>
          <w:b/>
        </w:rPr>
        <w:t>eflections on</w:t>
      </w:r>
      <w:r w:rsidRPr="00D127AA">
        <w:rPr>
          <w:rFonts w:cs="Times New Roman"/>
          <w:b/>
          <w:spacing w:val="-2"/>
        </w:rPr>
        <w:t xml:space="preserve"> </w:t>
      </w:r>
      <w:r w:rsidRPr="00D127AA">
        <w:rPr>
          <w:rFonts w:cs="Times New Roman"/>
          <w:b/>
        </w:rPr>
        <w:t>a</w:t>
      </w:r>
      <w:r w:rsidRPr="00D127AA">
        <w:rPr>
          <w:rFonts w:cs="Times New Roman"/>
          <w:b/>
          <w:spacing w:val="-1"/>
        </w:rPr>
        <w:t xml:space="preserve"> </w:t>
      </w:r>
      <w:r w:rsidRPr="00D127AA">
        <w:rPr>
          <w:rFonts w:cs="Times New Roman"/>
          <w:b/>
        </w:rPr>
        <w:t>review</w:t>
      </w:r>
      <w:r w:rsidRPr="00D127AA">
        <w:rPr>
          <w:rFonts w:cs="Times New Roman"/>
          <w:b/>
          <w:spacing w:val="-6"/>
        </w:rPr>
        <w:t xml:space="preserve"> </w:t>
      </w:r>
      <w:r w:rsidRPr="00D127AA">
        <w:rPr>
          <w:rFonts w:cs="Times New Roman"/>
          <w:b/>
        </w:rPr>
        <w:t>of</w:t>
      </w:r>
      <w:r w:rsidRPr="00D127AA">
        <w:rPr>
          <w:rFonts w:cs="Times New Roman"/>
          <w:b/>
          <w:spacing w:val="-2"/>
        </w:rPr>
        <w:t xml:space="preserve"> </w:t>
      </w:r>
      <w:r w:rsidRPr="00D127AA">
        <w:rPr>
          <w:rFonts w:cs="Times New Roman"/>
          <w:b/>
        </w:rPr>
        <w:t>appraisal</w:t>
      </w:r>
      <w:r w:rsidRPr="00D127AA">
        <w:rPr>
          <w:rFonts w:cs="Times New Roman"/>
          <w:b/>
          <w:spacing w:val="-8"/>
        </w:rPr>
        <w:t xml:space="preserve"> </w:t>
      </w:r>
      <w:r w:rsidRPr="00D127AA">
        <w:rPr>
          <w:rFonts w:cs="Times New Roman"/>
          <w:b/>
        </w:rPr>
        <w:t>guidelines</w:t>
      </w:r>
      <w:r w:rsidRPr="00D127AA">
        <w:rPr>
          <w:rFonts w:cs="Times New Roman"/>
          <w:b/>
          <w:spacing w:val="-9"/>
        </w:rPr>
        <w:t xml:space="preserve"> </w:t>
      </w:r>
      <w:r w:rsidRPr="00D127AA">
        <w:rPr>
          <w:rFonts w:cs="Times New Roman"/>
          <w:b/>
        </w:rPr>
        <w:t>in</w:t>
      </w:r>
      <w:r w:rsidRPr="00D127AA">
        <w:rPr>
          <w:rFonts w:cs="Times New Roman"/>
          <w:b/>
          <w:spacing w:val="-2"/>
        </w:rPr>
        <w:t xml:space="preserve"> </w:t>
      </w:r>
      <w:r w:rsidRPr="00D127AA">
        <w:rPr>
          <w:rFonts w:cs="Times New Roman"/>
          <w:b/>
        </w:rPr>
        <w:t>the</w:t>
      </w:r>
      <w:r w:rsidRPr="00D127AA">
        <w:rPr>
          <w:rFonts w:cs="Times New Roman"/>
          <w:b/>
          <w:spacing w:val="-3"/>
        </w:rPr>
        <w:t xml:space="preserve"> </w:t>
      </w:r>
      <w:r w:rsidRPr="00D127AA">
        <w:rPr>
          <w:rFonts w:cs="Times New Roman"/>
          <w:b/>
        </w:rPr>
        <w:t>health</w:t>
      </w:r>
      <w:r w:rsidRPr="00D127AA">
        <w:rPr>
          <w:rFonts w:cs="Times New Roman"/>
          <w:b/>
          <w:spacing w:val="-5"/>
        </w:rPr>
        <w:t xml:space="preserve"> </w:t>
      </w:r>
      <w:r w:rsidRPr="00D127AA">
        <w:rPr>
          <w:rFonts w:cs="Times New Roman"/>
          <w:b/>
        </w:rPr>
        <w:t>scie</w:t>
      </w:r>
      <w:r w:rsidRPr="00D127AA">
        <w:rPr>
          <w:rFonts w:cs="Times New Roman"/>
          <w:b/>
          <w:spacing w:val="2"/>
        </w:rPr>
        <w:t>n</w:t>
      </w:r>
      <w:r w:rsidRPr="00D127AA">
        <w:rPr>
          <w:rFonts w:cs="Times New Roman"/>
          <w:b/>
        </w:rPr>
        <w:t>ce</w:t>
      </w:r>
      <w:r w:rsidRPr="00D127AA">
        <w:rPr>
          <w:rFonts w:cs="Times New Roman"/>
          <w:b/>
          <w:spacing w:val="-1"/>
        </w:rPr>
        <w:t>s</w:t>
      </w:r>
      <w:r w:rsidRPr="00D127AA">
        <w:rPr>
          <w:rFonts w:cs="Times New Roman"/>
          <w:b/>
          <w:bCs/>
        </w:rPr>
        <w:t>.</w:t>
      </w:r>
      <w:r w:rsidRPr="00D127AA">
        <w:rPr>
          <w:rFonts w:cs="Times New Roman"/>
          <w:b/>
          <w:bCs/>
          <w:spacing w:val="-8"/>
        </w:rPr>
        <w:t xml:space="preserve"> </w:t>
      </w:r>
      <w:r w:rsidRPr="00D127AA">
        <w:rPr>
          <w:rFonts w:cs="Times New Roman"/>
          <w:b/>
          <w:i/>
        </w:rPr>
        <w:t>Journal</w:t>
      </w:r>
      <w:r w:rsidRPr="00D127AA">
        <w:rPr>
          <w:rFonts w:cs="Times New Roman"/>
          <w:b/>
          <w:i/>
          <w:spacing w:val="-7"/>
        </w:rPr>
        <w:t xml:space="preserve"> </w:t>
      </w:r>
      <w:r w:rsidRPr="00D127AA">
        <w:rPr>
          <w:rFonts w:cs="Times New Roman"/>
          <w:b/>
          <w:i/>
        </w:rPr>
        <w:t>of</w:t>
      </w:r>
      <w:r w:rsidRPr="00D127AA">
        <w:rPr>
          <w:rFonts w:cs="Times New Roman"/>
          <w:b/>
          <w:i/>
          <w:spacing w:val="-2"/>
        </w:rPr>
        <w:t xml:space="preserve"> </w:t>
      </w:r>
      <w:r w:rsidRPr="00D127AA">
        <w:rPr>
          <w:rFonts w:cs="Times New Roman"/>
          <w:b/>
          <w:i/>
        </w:rPr>
        <w:t>Evaluat</w:t>
      </w:r>
      <w:r w:rsidRPr="00D127AA">
        <w:rPr>
          <w:rFonts w:cs="Times New Roman"/>
          <w:b/>
          <w:i/>
          <w:spacing w:val="-1"/>
        </w:rPr>
        <w:t>i</w:t>
      </w:r>
      <w:r w:rsidRPr="00D127AA">
        <w:rPr>
          <w:rFonts w:cs="Times New Roman"/>
          <w:b/>
          <w:i/>
          <w:spacing w:val="1"/>
        </w:rPr>
        <w:t>o</w:t>
      </w:r>
      <w:r w:rsidRPr="00D127AA">
        <w:rPr>
          <w:rFonts w:cs="Times New Roman"/>
          <w:b/>
          <w:i/>
        </w:rPr>
        <w:t>n</w:t>
      </w:r>
      <w:r w:rsidRPr="00D127AA">
        <w:rPr>
          <w:rFonts w:cs="Times New Roman"/>
          <w:b/>
          <w:i/>
          <w:spacing w:val="-10"/>
        </w:rPr>
        <w:t xml:space="preserve"> </w:t>
      </w:r>
      <w:r w:rsidRPr="00D127AA">
        <w:rPr>
          <w:rFonts w:cs="Times New Roman"/>
          <w:b/>
          <w:i/>
        </w:rPr>
        <w:t>in</w:t>
      </w:r>
      <w:r w:rsidRPr="00D127AA">
        <w:rPr>
          <w:rFonts w:cs="Times New Roman"/>
          <w:b/>
          <w:i/>
          <w:spacing w:val="-2"/>
        </w:rPr>
        <w:t xml:space="preserve"> </w:t>
      </w:r>
      <w:r w:rsidRPr="00D127AA">
        <w:rPr>
          <w:rFonts w:cs="Times New Roman"/>
          <w:i/>
        </w:rPr>
        <w:t>Clinical Practice,</w:t>
      </w:r>
      <w:r w:rsidRPr="00D127AA">
        <w:rPr>
          <w:rFonts w:cs="Times New Roman"/>
          <w:spacing w:val="-8"/>
        </w:rPr>
        <w:t xml:space="preserve"> </w:t>
      </w:r>
      <w:r w:rsidRPr="00D127AA">
        <w:rPr>
          <w:rFonts w:cs="Times New Roman"/>
        </w:rPr>
        <w:t>9</w:t>
      </w:r>
      <w:r w:rsidRPr="00D127AA">
        <w:rPr>
          <w:rFonts w:cs="Times New Roman"/>
          <w:i/>
        </w:rPr>
        <w:t xml:space="preserve"> </w:t>
      </w:r>
      <w:r w:rsidRPr="00D127AA">
        <w:rPr>
          <w:rFonts w:cs="Times New Roman"/>
        </w:rPr>
        <w:t>(2),</w:t>
      </w:r>
      <w:r w:rsidRPr="00D127AA">
        <w:rPr>
          <w:rFonts w:cs="Times New Roman"/>
          <w:spacing w:val="-3"/>
        </w:rPr>
        <w:t xml:space="preserve"> </w:t>
      </w:r>
      <w:r w:rsidRPr="00D127AA">
        <w:rPr>
          <w:rFonts w:cs="Times New Roman"/>
        </w:rPr>
        <w:t>187</w:t>
      </w:r>
      <w:r w:rsidRPr="00D127AA">
        <w:rPr>
          <w:rFonts w:cs="Times New Roman"/>
          <w:spacing w:val="-1"/>
        </w:rPr>
        <w:t xml:space="preserve">-194. </w:t>
      </w:r>
      <w:hyperlink r:id="rId72">
        <w:r w:rsidRPr="00D127AA">
          <w:rPr>
            <w:rFonts w:cs="Times New Roman"/>
            <w:color w:val="0000FF"/>
            <w:spacing w:val="-1"/>
            <w:u w:val="single" w:color="0000FF"/>
          </w:rPr>
          <w:t>h</w:t>
        </w:r>
        <w:r w:rsidRPr="00D127AA">
          <w:rPr>
            <w:rFonts w:cs="Times New Roman"/>
            <w:color w:val="0000FF"/>
            <w:u w:val="single" w:color="0000FF"/>
          </w:rPr>
          <w:t>ttp</w:t>
        </w:r>
        <w:r w:rsidRPr="00D127AA">
          <w:rPr>
            <w:rFonts w:cs="Times New Roman"/>
            <w:color w:val="0000FF"/>
            <w:spacing w:val="-1"/>
            <w:u w:val="single" w:color="0000FF"/>
          </w:rPr>
          <w:t>:</w:t>
        </w:r>
        <w:r w:rsidRPr="00D127AA">
          <w:rPr>
            <w:rFonts w:cs="Times New Roman"/>
            <w:color w:val="0000FF"/>
            <w:u w:val="single" w:color="0000FF"/>
          </w:rPr>
          <w:t>//si</w:t>
        </w:r>
        <w:r w:rsidRPr="00D127AA">
          <w:rPr>
            <w:rFonts w:cs="Times New Roman"/>
            <w:color w:val="0000FF"/>
            <w:spacing w:val="-2"/>
            <w:u w:val="single" w:color="0000FF"/>
          </w:rPr>
          <w:t>m</w:t>
        </w:r>
        <w:r w:rsidRPr="00D127AA">
          <w:rPr>
            <w:rFonts w:cs="Times New Roman"/>
            <w:color w:val="0000FF"/>
            <w:u w:val="single" w:color="0000FF"/>
          </w:rPr>
          <w:t>plelink.librar</w:t>
        </w:r>
        <w:r w:rsidRPr="00D127AA">
          <w:rPr>
            <w:rFonts w:cs="Times New Roman"/>
            <w:color w:val="0000FF"/>
            <w:spacing w:val="2"/>
            <w:u w:val="single" w:color="0000FF"/>
          </w:rPr>
          <w:t>y</w:t>
        </w:r>
        <w:r w:rsidRPr="00D127AA">
          <w:rPr>
            <w:rFonts w:cs="Times New Roman"/>
            <w:color w:val="0000FF"/>
            <w:spacing w:val="-1"/>
            <w:u w:val="single" w:color="0000FF"/>
          </w:rPr>
          <w:t>.</w:t>
        </w:r>
        <w:r w:rsidRPr="00D127AA">
          <w:rPr>
            <w:rFonts w:cs="Times New Roman"/>
            <w:color w:val="0000FF"/>
            <w:spacing w:val="1"/>
            <w:u w:val="single" w:color="0000FF"/>
          </w:rPr>
          <w:t>u</w:t>
        </w:r>
        <w:r w:rsidRPr="00D127AA">
          <w:rPr>
            <w:rFonts w:cs="Times New Roman"/>
            <w:color w:val="0000FF"/>
            <w:u w:val="single" w:color="0000FF"/>
          </w:rPr>
          <w:t>tor</w:t>
        </w:r>
        <w:r w:rsidRPr="00D127AA">
          <w:rPr>
            <w:rFonts w:cs="Times New Roman"/>
            <w:color w:val="0000FF"/>
            <w:spacing w:val="-1"/>
            <w:u w:val="single" w:color="0000FF"/>
          </w:rPr>
          <w:t>o</w:t>
        </w:r>
        <w:r w:rsidRPr="00D127AA">
          <w:rPr>
            <w:rFonts w:cs="Times New Roman"/>
            <w:color w:val="0000FF"/>
            <w:u w:val="single" w:color="0000FF"/>
          </w:rPr>
          <w:t>n</w:t>
        </w:r>
        <w:r w:rsidRPr="00D127AA">
          <w:rPr>
            <w:rFonts w:cs="Times New Roman"/>
            <w:color w:val="0000FF"/>
            <w:spacing w:val="-1"/>
            <w:u w:val="single" w:color="0000FF"/>
          </w:rPr>
          <w:t>t</w:t>
        </w:r>
        <w:r w:rsidRPr="00D127AA">
          <w:rPr>
            <w:rFonts w:cs="Times New Roman"/>
            <w:color w:val="0000FF"/>
            <w:u w:val="single" w:color="0000FF"/>
          </w:rPr>
          <w:t>o.ca/url.cf</w:t>
        </w:r>
        <w:r w:rsidRPr="00D127AA">
          <w:rPr>
            <w:rFonts w:cs="Times New Roman"/>
            <w:color w:val="0000FF"/>
            <w:spacing w:val="-2"/>
            <w:u w:val="single" w:color="0000FF"/>
          </w:rPr>
          <w:t>m</w:t>
        </w:r>
        <w:r w:rsidRPr="00D127AA">
          <w:rPr>
            <w:rFonts w:cs="Times New Roman"/>
            <w:color w:val="0000FF"/>
            <w:spacing w:val="1"/>
            <w:u w:val="single" w:color="0000FF"/>
          </w:rPr>
          <w:t>/</w:t>
        </w:r>
        <w:r w:rsidRPr="00D127AA">
          <w:rPr>
            <w:rFonts w:cs="Times New Roman"/>
            <w:color w:val="0000FF"/>
            <w:u w:val="single" w:color="0000FF"/>
          </w:rPr>
          <w:t>384</w:t>
        </w:r>
        <w:r w:rsidRPr="00D127AA">
          <w:rPr>
            <w:rFonts w:cs="Times New Roman"/>
            <w:color w:val="0000FF"/>
            <w:spacing w:val="-1"/>
            <w:u w:val="single" w:color="0000FF"/>
          </w:rPr>
          <w:t>1</w:t>
        </w:r>
        <w:r w:rsidRPr="00D127AA">
          <w:rPr>
            <w:rFonts w:cs="Times New Roman"/>
            <w:color w:val="0000FF"/>
            <w:u w:val="single" w:color="0000FF"/>
          </w:rPr>
          <w:t>1</w:t>
        </w:r>
      </w:hyperlink>
    </w:p>
    <w:p w:rsidR="00D127AA" w:rsidRPr="00D127AA" w:rsidRDefault="00D127AA" w:rsidP="00D127AA">
      <w:pPr>
        <w:widowControl w:val="0"/>
        <w:spacing w:after="120" w:line="240" w:lineRule="auto"/>
        <w:rPr>
          <w:rFonts w:cs="Times New Roman"/>
        </w:rPr>
      </w:pPr>
      <w:r w:rsidRPr="003E63A0">
        <w:rPr>
          <w:rFonts w:cs="Times New Roman"/>
          <w:b/>
        </w:rPr>
        <w:t>Canadian Journal of Public Health. Guide for Appraisal of Qualitative Manuscripts</w:t>
      </w:r>
      <w:r w:rsidRPr="00D127AA">
        <w:rPr>
          <w:rFonts w:cs="Times New Roman"/>
        </w:rPr>
        <w:t xml:space="preserve">. </w:t>
      </w:r>
      <w:hyperlink r:id="rId73" w:history="1">
        <w:r w:rsidRPr="00D127AA">
          <w:rPr>
            <w:rStyle w:val="Hyperlink"/>
            <w:rFonts w:cs="Times New Roman"/>
          </w:rPr>
          <w:t>https://journal.cpha.ca/filesonline/forreviewers/en/qualitative_e.pdf</w:t>
        </w:r>
      </w:hyperlink>
      <w:r w:rsidRPr="00D127AA">
        <w:rPr>
          <w:rFonts w:cs="Times New Roman"/>
        </w:rPr>
        <w:t xml:space="preserve"> </w:t>
      </w:r>
    </w:p>
    <w:p w:rsidR="00D127AA" w:rsidRPr="00D127AA" w:rsidRDefault="00D127AA" w:rsidP="00D127AA">
      <w:pPr>
        <w:widowControl w:val="0"/>
        <w:spacing w:after="120" w:line="240" w:lineRule="auto"/>
        <w:ind w:right="235"/>
        <w:rPr>
          <w:rFonts w:cs="Times New Roman"/>
          <w:b/>
        </w:rPr>
      </w:pPr>
    </w:p>
    <w:p w:rsidR="0066669F" w:rsidRPr="00420DB9" w:rsidRDefault="0066669F" w:rsidP="00420DB9">
      <w:pPr>
        <w:pStyle w:val="Heading3"/>
        <w:spacing w:before="0" w:after="120" w:line="240" w:lineRule="auto"/>
        <w:rPr>
          <w:rFonts w:ascii="Times New Roman" w:hAnsi="Times New Roman" w:cs="Times New Roman"/>
        </w:rPr>
      </w:pPr>
      <w:r w:rsidRPr="00420DB9">
        <w:rPr>
          <w:rFonts w:ascii="Times New Roman" w:hAnsi="Times New Roman" w:cs="Times New Roman"/>
        </w:rPr>
        <w:t>Week 1</w:t>
      </w:r>
      <w:r w:rsidR="00F93507">
        <w:rPr>
          <w:rFonts w:ascii="Times New Roman" w:hAnsi="Times New Roman" w:cs="Times New Roman"/>
        </w:rPr>
        <w:t>2</w:t>
      </w:r>
      <w:r w:rsidRPr="00420DB9">
        <w:rPr>
          <w:rFonts w:ascii="Times New Roman" w:hAnsi="Times New Roman" w:cs="Times New Roman"/>
        </w:rPr>
        <w:t xml:space="preserve"> and 1</w:t>
      </w:r>
      <w:r w:rsidR="00F93507">
        <w:rPr>
          <w:rFonts w:ascii="Times New Roman" w:hAnsi="Times New Roman" w:cs="Times New Roman"/>
        </w:rPr>
        <w:t>3</w:t>
      </w:r>
      <w:r w:rsidRPr="00420DB9">
        <w:rPr>
          <w:rFonts w:ascii="Times New Roman" w:hAnsi="Times New Roman" w:cs="Times New Roman"/>
        </w:rPr>
        <w:t>. Writing Qualitative Research Proposals l and ll</w:t>
      </w:r>
    </w:p>
    <w:p w:rsidR="002A7537" w:rsidRDefault="002A7537" w:rsidP="00420DB9">
      <w:pPr>
        <w:widowControl w:val="0"/>
        <w:spacing w:after="120" w:line="240" w:lineRule="auto"/>
        <w:ind w:right="235"/>
        <w:rPr>
          <w:rFonts w:cs="Times New Roman"/>
        </w:rPr>
      </w:pPr>
      <w:r w:rsidRPr="003E63A0">
        <w:rPr>
          <w:rFonts w:cs="Times New Roman"/>
          <w:b/>
        </w:rPr>
        <w:t>CIHR Project Grant Program</w:t>
      </w:r>
      <w:r w:rsidRPr="00420DB9">
        <w:rPr>
          <w:rFonts w:cs="Times New Roman"/>
        </w:rPr>
        <w:t xml:space="preserve"> </w:t>
      </w:r>
      <w:hyperlink r:id="rId74" w:history="1">
        <w:r w:rsidRPr="00420DB9">
          <w:rPr>
            <w:rStyle w:val="Hyperlink"/>
            <w:rFonts w:cs="Times New Roman"/>
          </w:rPr>
          <w:t>http://www.cihr-irsc.gc.ca/e/49051.html</w:t>
        </w:r>
      </w:hyperlink>
      <w:r w:rsidRPr="00420DB9">
        <w:rPr>
          <w:rFonts w:cs="Times New Roman"/>
        </w:rPr>
        <w:t xml:space="preserve"> </w:t>
      </w:r>
    </w:p>
    <w:p w:rsidR="003E63A0" w:rsidRPr="00420DB9" w:rsidRDefault="003E63A0" w:rsidP="00420DB9">
      <w:pPr>
        <w:widowControl w:val="0"/>
        <w:spacing w:after="120" w:line="240" w:lineRule="auto"/>
        <w:ind w:right="235"/>
        <w:rPr>
          <w:rFonts w:cs="Times New Roman"/>
        </w:rPr>
      </w:pPr>
      <w:r w:rsidRPr="003E63A0">
        <w:rPr>
          <w:rFonts w:cs="Times New Roman"/>
          <w:b/>
        </w:rPr>
        <w:t>SSHRC Insight Grant Program</w:t>
      </w:r>
      <w:r>
        <w:rPr>
          <w:rFonts w:cs="Times New Roman"/>
        </w:rPr>
        <w:t xml:space="preserve"> </w:t>
      </w:r>
      <w:hyperlink r:id="rId75" w:history="1">
        <w:r>
          <w:rPr>
            <w:rStyle w:val="Hyperlink"/>
          </w:rPr>
          <w:t>https://www.sshrc-crsh.gc.ca/funding-financement/umbrella_programs-programme_cadre/insight-savoir-eng.aspx</w:t>
        </w:r>
      </w:hyperlink>
    </w:p>
    <w:p w:rsidR="005C6722" w:rsidRPr="00420DB9" w:rsidRDefault="005C6722"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Becker, L. (2012). Developing Research Proposals. Thousand Oaks: SAGE. </w:t>
      </w:r>
      <w:hyperlink r:id="rId76" w:history="1">
        <w:r w:rsidRPr="00420DB9">
          <w:rPr>
            <w:rFonts w:ascii="Times New Roman" w:hAnsi="Times New Roman" w:cs="Times New Roman"/>
            <w:color w:val="0000FF"/>
            <w:sz w:val="22"/>
            <w:szCs w:val="22"/>
          </w:rPr>
          <w:t>http://go.utlib.ca/cat/11238441</w:t>
        </w:r>
      </w:hyperlink>
      <w:r w:rsidRPr="00420DB9">
        <w:rPr>
          <w:rFonts w:ascii="Times New Roman" w:hAnsi="Times New Roman" w:cs="Times New Roman"/>
          <w:b/>
          <w:bCs/>
          <w:sz w:val="22"/>
          <w:szCs w:val="22"/>
        </w:rPr>
        <w:t xml:space="preserve"> </w:t>
      </w:r>
    </w:p>
    <w:p w:rsidR="005C6722" w:rsidRDefault="005C6722" w:rsidP="00420DB9">
      <w:pPr>
        <w:pStyle w:val="Default"/>
        <w:spacing w:after="120"/>
        <w:rPr>
          <w:rFonts w:ascii="Times New Roman" w:hAnsi="Times New Roman" w:cs="Times New Roman"/>
          <w:sz w:val="22"/>
          <w:szCs w:val="22"/>
        </w:rPr>
      </w:pPr>
      <w:r w:rsidRPr="00420DB9">
        <w:rPr>
          <w:rFonts w:ascii="Times New Roman" w:hAnsi="Times New Roman" w:cs="Times New Roman"/>
          <w:sz w:val="22"/>
          <w:szCs w:val="22"/>
        </w:rPr>
        <w:t xml:space="preserve">Thomas, D. R. &amp; Hodges, I. D. (2010). Designing and Managing your Research Project: Core Skills for Social and Health Research. Los Angeles: SAGE. </w:t>
      </w:r>
      <w:hyperlink r:id="rId77" w:history="1">
        <w:r w:rsidRPr="00420DB9">
          <w:rPr>
            <w:rFonts w:ascii="Times New Roman" w:hAnsi="Times New Roman" w:cs="Times New Roman"/>
            <w:color w:val="0000FF"/>
            <w:sz w:val="22"/>
            <w:szCs w:val="22"/>
          </w:rPr>
          <w:t>http://go.utlib.ca/cat/9272331</w:t>
        </w:r>
      </w:hyperlink>
      <w:r w:rsidRPr="00420DB9">
        <w:rPr>
          <w:rFonts w:ascii="Times New Roman" w:hAnsi="Times New Roman" w:cs="Times New Roman"/>
          <w:sz w:val="22"/>
          <w:szCs w:val="22"/>
        </w:rPr>
        <w:t xml:space="preserve"> </w:t>
      </w:r>
    </w:p>
    <w:p w:rsidR="00CD45FA" w:rsidRPr="00420DB9" w:rsidRDefault="00CD45FA" w:rsidP="00420DB9">
      <w:pPr>
        <w:pStyle w:val="Default"/>
        <w:spacing w:after="120"/>
        <w:rPr>
          <w:rFonts w:ascii="Times New Roman" w:hAnsi="Times New Roman" w:cs="Times New Roman"/>
          <w:sz w:val="22"/>
          <w:szCs w:val="22"/>
        </w:rPr>
      </w:pPr>
      <w:r>
        <w:rPr>
          <w:rFonts w:ascii="Times New Roman" w:hAnsi="Times New Roman" w:cs="Times New Roman"/>
          <w:sz w:val="22"/>
          <w:szCs w:val="22"/>
        </w:rPr>
        <w:t xml:space="preserve">See </w:t>
      </w:r>
      <w:r w:rsidR="003E63A0">
        <w:rPr>
          <w:rFonts w:ascii="Times New Roman" w:hAnsi="Times New Roman" w:cs="Times New Roman"/>
          <w:sz w:val="22"/>
          <w:szCs w:val="22"/>
        </w:rPr>
        <w:t xml:space="preserve">the </w:t>
      </w:r>
      <w:r>
        <w:rPr>
          <w:rFonts w:ascii="Times New Roman" w:hAnsi="Times New Roman" w:cs="Times New Roman"/>
          <w:sz w:val="22"/>
          <w:szCs w:val="22"/>
        </w:rPr>
        <w:t>additional list of references in Quercus, in the two last Modules.</w:t>
      </w:r>
    </w:p>
    <w:sectPr w:rsidR="00CD45FA" w:rsidRPr="00420DB9">
      <w:headerReference w:type="even" r:id="rId78"/>
      <w:headerReference w:type="default" r:id="rId79"/>
      <w:footerReference w:type="even" r:id="rId80"/>
      <w:footerReference w:type="default" r:id="rId81"/>
      <w:headerReference w:type="first" r:id="rId82"/>
      <w:footerReference w:type="firs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B5" w:rsidRDefault="005318B5" w:rsidP="00525EAC">
      <w:pPr>
        <w:spacing w:after="0" w:line="240" w:lineRule="auto"/>
      </w:pPr>
      <w:r>
        <w:separator/>
      </w:r>
    </w:p>
  </w:endnote>
  <w:endnote w:type="continuationSeparator" w:id="0">
    <w:p w:rsidR="005318B5" w:rsidRDefault="005318B5" w:rsidP="0052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E1" w:rsidRDefault="00011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765730"/>
      <w:docPartObj>
        <w:docPartGallery w:val="Page Numbers (Bottom of Page)"/>
        <w:docPartUnique/>
      </w:docPartObj>
    </w:sdtPr>
    <w:sdtEndPr/>
    <w:sdtContent>
      <w:sdt>
        <w:sdtPr>
          <w:id w:val="860082579"/>
          <w:docPartObj>
            <w:docPartGallery w:val="Page Numbers (Top of Page)"/>
            <w:docPartUnique/>
          </w:docPartObj>
        </w:sdtPr>
        <w:sdtEndPr/>
        <w:sdtContent>
          <w:p w:rsidR="000112E1" w:rsidRDefault="000112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5B6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B62">
              <w:rPr>
                <w:b/>
                <w:bCs/>
                <w:noProof/>
              </w:rPr>
              <w:t>15</w:t>
            </w:r>
            <w:r>
              <w:rPr>
                <w:b/>
                <w:bCs/>
                <w:sz w:val="24"/>
                <w:szCs w:val="24"/>
              </w:rPr>
              <w:fldChar w:fldCharType="end"/>
            </w:r>
          </w:p>
        </w:sdtContent>
      </w:sdt>
    </w:sdtContent>
  </w:sdt>
  <w:p w:rsidR="000112E1" w:rsidRDefault="00011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E1" w:rsidRDefault="0001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B5" w:rsidRDefault="005318B5" w:rsidP="00525EAC">
      <w:pPr>
        <w:spacing w:after="0" w:line="240" w:lineRule="auto"/>
      </w:pPr>
      <w:r>
        <w:separator/>
      </w:r>
    </w:p>
  </w:footnote>
  <w:footnote w:type="continuationSeparator" w:id="0">
    <w:p w:rsidR="005318B5" w:rsidRDefault="005318B5" w:rsidP="0052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E1" w:rsidRDefault="00011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E1" w:rsidRDefault="00325C04">
    <w:pPr>
      <w:pStyle w:val="Header"/>
    </w:pPr>
    <w:r>
      <w:t>Version Jan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E1" w:rsidRDefault="00011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3127"/>
    <w:multiLevelType w:val="hybridMultilevel"/>
    <w:tmpl w:val="C26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A16E1"/>
    <w:multiLevelType w:val="hybridMultilevel"/>
    <w:tmpl w:val="B290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3674F"/>
    <w:multiLevelType w:val="hybridMultilevel"/>
    <w:tmpl w:val="102E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153759"/>
    <w:multiLevelType w:val="hybridMultilevel"/>
    <w:tmpl w:val="376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D5ABE"/>
    <w:multiLevelType w:val="hybridMultilevel"/>
    <w:tmpl w:val="09B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011C2"/>
    <w:multiLevelType w:val="hybridMultilevel"/>
    <w:tmpl w:val="012A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TIxMDMwNzKysDRR0lEKTi0uzszPAykwNKkFAMswF0stAAAA"/>
  </w:docVars>
  <w:rsids>
    <w:rsidRoot w:val="00235752"/>
    <w:rsid w:val="000112E1"/>
    <w:rsid w:val="000212AE"/>
    <w:rsid w:val="0002663E"/>
    <w:rsid w:val="000434FA"/>
    <w:rsid w:val="00065D9D"/>
    <w:rsid w:val="00092A7F"/>
    <w:rsid w:val="00097B23"/>
    <w:rsid w:val="000D2960"/>
    <w:rsid w:val="000E37C2"/>
    <w:rsid w:val="0013268F"/>
    <w:rsid w:val="001509F4"/>
    <w:rsid w:val="00180EA6"/>
    <w:rsid w:val="00187E37"/>
    <w:rsid w:val="001B102E"/>
    <w:rsid w:val="001B7F57"/>
    <w:rsid w:val="001D4189"/>
    <w:rsid w:val="00203FE1"/>
    <w:rsid w:val="00204E0F"/>
    <w:rsid w:val="00207F24"/>
    <w:rsid w:val="00212754"/>
    <w:rsid w:val="00222BEF"/>
    <w:rsid w:val="00234DEE"/>
    <w:rsid w:val="00235752"/>
    <w:rsid w:val="0025293D"/>
    <w:rsid w:val="0028324F"/>
    <w:rsid w:val="00294861"/>
    <w:rsid w:val="002A7537"/>
    <w:rsid w:val="002D7142"/>
    <w:rsid w:val="002E28A2"/>
    <w:rsid w:val="002E64CB"/>
    <w:rsid w:val="00323AFD"/>
    <w:rsid w:val="00324C7D"/>
    <w:rsid w:val="00324CCB"/>
    <w:rsid w:val="00325C04"/>
    <w:rsid w:val="00334568"/>
    <w:rsid w:val="0035233F"/>
    <w:rsid w:val="0035307A"/>
    <w:rsid w:val="00371B2B"/>
    <w:rsid w:val="0037381D"/>
    <w:rsid w:val="003827FD"/>
    <w:rsid w:val="003878DB"/>
    <w:rsid w:val="003C1D4E"/>
    <w:rsid w:val="003C64C9"/>
    <w:rsid w:val="003D0939"/>
    <w:rsid w:val="003D3011"/>
    <w:rsid w:val="003D30B4"/>
    <w:rsid w:val="003E63A0"/>
    <w:rsid w:val="00420DB9"/>
    <w:rsid w:val="0042273E"/>
    <w:rsid w:val="00431771"/>
    <w:rsid w:val="00470220"/>
    <w:rsid w:val="004955DF"/>
    <w:rsid w:val="004B4C13"/>
    <w:rsid w:val="004B7988"/>
    <w:rsid w:val="004C077D"/>
    <w:rsid w:val="004D521A"/>
    <w:rsid w:val="004D681B"/>
    <w:rsid w:val="004E15E7"/>
    <w:rsid w:val="00525EAC"/>
    <w:rsid w:val="005318B5"/>
    <w:rsid w:val="00547AF5"/>
    <w:rsid w:val="00555004"/>
    <w:rsid w:val="005713C9"/>
    <w:rsid w:val="00584CF1"/>
    <w:rsid w:val="005C6292"/>
    <w:rsid w:val="005C6722"/>
    <w:rsid w:val="005D1438"/>
    <w:rsid w:val="005D7ABD"/>
    <w:rsid w:val="005F500A"/>
    <w:rsid w:val="00601614"/>
    <w:rsid w:val="006158B9"/>
    <w:rsid w:val="00653EB7"/>
    <w:rsid w:val="0066669F"/>
    <w:rsid w:val="00694D2F"/>
    <w:rsid w:val="006A12A6"/>
    <w:rsid w:val="006B6571"/>
    <w:rsid w:val="006D08E1"/>
    <w:rsid w:val="006E1E77"/>
    <w:rsid w:val="00711A8B"/>
    <w:rsid w:val="00744A07"/>
    <w:rsid w:val="00756426"/>
    <w:rsid w:val="0075749E"/>
    <w:rsid w:val="00766937"/>
    <w:rsid w:val="007A22E1"/>
    <w:rsid w:val="00800AB6"/>
    <w:rsid w:val="00805D96"/>
    <w:rsid w:val="0082604A"/>
    <w:rsid w:val="00864C63"/>
    <w:rsid w:val="00865AA3"/>
    <w:rsid w:val="00882FE0"/>
    <w:rsid w:val="008C1A95"/>
    <w:rsid w:val="008F63D2"/>
    <w:rsid w:val="009016BA"/>
    <w:rsid w:val="00902D57"/>
    <w:rsid w:val="00915DE0"/>
    <w:rsid w:val="00935B62"/>
    <w:rsid w:val="00965A08"/>
    <w:rsid w:val="00980713"/>
    <w:rsid w:val="009B7B2D"/>
    <w:rsid w:val="009C4C9D"/>
    <w:rsid w:val="009D6ED8"/>
    <w:rsid w:val="00A046F6"/>
    <w:rsid w:val="00A219EA"/>
    <w:rsid w:val="00A2784F"/>
    <w:rsid w:val="00A34348"/>
    <w:rsid w:val="00A37473"/>
    <w:rsid w:val="00A53DAD"/>
    <w:rsid w:val="00A55619"/>
    <w:rsid w:val="00A96483"/>
    <w:rsid w:val="00AC07E1"/>
    <w:rsid w:val="00AD7E27"/>
    <w:rsid w:val="00AF1ADA"/>
    <w:rsid w:val="00AF5480"/>
    <w:rsid w:val="00B41959"/>
    <w:rsid w:val="00B83278"/>
    <w:rsid w:val="00B87CC9"/>
    <w:rsid w:val="00BA5809"/>
    <w:rsid w:val="00BC2652"/>
    <w:rsid w:val="00BE4E0D"/>
    <w:rsid w:val="00BE543A"/>
    <w:rsid w:val="00C0259F"/>
    <w:rsid w:val="00C2161F"/>
    <w:rsid w:val="00C449C6"/>
    <w:rsid w:val="00C61CBE"/>
    <w:rsid w:val="00C83E12"/>
    <w:rsid w:val="00CA491B"/>
    <w:rsid w:val="00CA4C19"/>
    <w:rsid w:val="00CA62B4"/>
    <w:rsid w:val="00CB213F"/>
    <w:rsid w:val="00CC1F16"/>
    <w:rsid w:val="00CC4754"/>
    <w:rsid w:val="00CD45FA"/>
    <w:rsid w:val="00CD76ED"/>
    <w:rsid w:val="00D127AA"/>
    <w:rsid w:val="00D14BE6"/>
    <w:rsid w:val="00D35A14"/>
    <w:rsid w:val="00D61974"/>
    <w:rsid w:val="00D63FFE"/>
    <w:rsid w:val="00DB0575"/>
    <w:rsid w:val="00DC3032"/>
    <w:rsid w:val="00DD7A21"/>
    <w:rsid w:val="00DE0534"/>
    <w:rsid w:val="00DF7DA4"/>
    <w:rsid w:val="00E006DE"/>
    <w:rsid w:val="00E13CF0"/>
    <w:rsid w:val="00E240E8"/>
    <w:rsid w:val="00E34968"/>
    <w:rsid w:val="00E47143"/>
    <w:rsid w:val="00E81892"/>
    <w:rsid w:val="00EA35BB"/>
    <w:rsid w:val="00EA37E2"/>
    <w:rsid w:val="00EE0FE1"/>
    <w:rsid w:val="00F23B22"/>
    <w:rsid w:val="00F5072A"/>
    <w:rsid w:val="00F643B4"/>
    <w:rsid w:val="00F734C6"/>
    <w:rsid w:val="00F93507"/>
    <w:rsid w:val="00FB3643"/>
    <w:rsid w:val="00FD7D65"/>
    <w:rsid w:val="00FE1455"/>
    <w:rsid w:val="00F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21CAE-192C-41B0-B927-386A4EC6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52"/>
    <w:rPr>
      <w:rFonts w:ascii="Times New Roman" w:hAnsi="Times New Roman"/>
    </w:rPr>
  </w:style>
  <w:style w:type="paragraph" w:styleId="Heading1">
    <w:name w:val="heading 1"/>
    <w:basedOn w:val="Normal"/>
    <w:next w:val="Normal"/>
    <w:link w:val="Heading1Char"/>
    <w:uiPriority w:val="9"/>
    <w:qFormat/>
    <w:rsid w:val="002E2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28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5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752"/>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235752"/>
    <w:rPr>
      <w:color w:val="0000FF" w:themeColor="hyperlink"/>
      <w:u w:val="single"/>
    </w:rPr>
  </w:style>
  <w:style w:type="paragraph" w:styleId="ListParagraph">
    <w:name w:val="List Paragraph"/>
    <w:basedOn w:val="Normal"/>
    <w:uiPriority w:val="34"/>
    <w:qFormat/>
    <w:rsid w:val="00235752"/>
    <w:pPr>
      <w:ind w:left="720"/>
      <w:contextualSpacing/>
    </w:pPr>
  </w:style>
  <w:style w:type="character" w:customStyle="1" w:styleId="Heading1Char">
    <w:name w:val="Heading 1 Char"/>
    <w:basedOn w:val="DefaultParagraphFont"/>
    <w:link w:val="Heading1"/>
    <w:uiPriority w:val="9"/>
    <w:rsid w:val="002E28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28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25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EAC"/>
    <w:rPr>
      <w:rFonts w:ascii="Times New Roman" w:hAnsi="Times New Roman"/>
    </w:rPr>
  </w:style>
  <w:style w:type="paragraph" w:styleId="Footer">
    <w:name w:val="footer"/>
    <w:basedOn w:val="Normal"/>
    <w:link w:val="FooterChar"/>
    <w:uiPriority w:val="99"/>
    <w:unhideWhenUsed/>
    <w:rsid w:val="00525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EAC"/>
    <w:rPr>
      <w:rFonts w:ascii="Times New Roman" w:hAnsi="Times New Roman"/>
    </w:rPr>
  </w:style>
  <w:style w:type="paragraph" w:styleId="NormalWeb">
    <w:name w:val="Normal (Web)"/>
    <w:basedOn w:val="Normal"/>
    <w:uiPriority w:val="99"/>
    <w:unhideWhenUsed/>
    <w:rsid w:val="00D35A1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35A14"/>
    <w:rPr>
      <w:rFonts w:ascii="Times New Roman" w:hAnsi="Times New Roman"/>
      <w:i w:val="0"/>
      <w:iCs/>
      <w:color w:val="auto"/>
      <w:sz w:val="22"/>
    </w:rPr>
  </w:style>
  <w:style w:type="character" w:styleId="Strong">
    <w:name w:val="Strong"/>
    <w:uiPriority w:val="22"/>
    <w:qFormat/>
    <w:rsid w:val="00D35A14"/>
    <w:rPr>
      <w:b/>
      <w:bCs/>
    </w:rPr>
  </w:style>
  <w:style w:type="character" w:customStyle="1" w:styleId="Heading3Char">
    <w:name w:val="Heading 3 Char"/>
    <w:basedOn w:val="DefaultParagraphFont"/>
    <w:link w:val="Heading3"/>
    <w:uiPriority w:val="9"/>
    <w:rsid w:val="004955DF"/>
    <w:rPr>
      <w:rFonts w:asciiTheme="majorHAnsi" w:eastAsiaTheme="majorEastAsia" w:hAnsiTheme="majorHAnsi" w:cstheme="majorBidi"/>
      <w:b/>
      <w:bCs/>
      <w:color w:val="4F81BD" w:themeColor="accent1"/>
    </w:rPr>
  </w:style>
  <w:style w:type="table" w:styleId="TableGrid">
    <w:name w:val="Table Grid"/>
    <w:basedOn w:val="TableNormal"/>
    <w:uiPriority w:val="59"/>
    <w:rsid w:val="000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marctags">
    <w:name w:val="viewmarctags"/>
    <w:basedOn w:val="DefaultParagraphFont"/>
    <w:rsid w:val="0066669F"/>
  </w:style>
  <w:style w:type="character" w:styleId="FollowedHyperlink">
    <w:name w:val="FollowedHyperlink"/>
    <w:basedOn w:val="DefaultParagraphFont"/>
    <w:uiPriority w:val="99"/>
    <w:semiHidden/>
    <w:unhideWhenUsed/>
    <w:rsid w:val="002A7537"/>
    <w:rPr>
      <w:color w:val="800080" w:themeColor="followedHyperlink"/>
      <w:u w:val="single"/>
    </w:rPr>
  </w:style>
  <w:style w:type="paragraph" w:styleId="BalloonText">
    <w:name w:val="Balloon Text"/>
    <w:basedOn w:val="Normal"/>
    <w:link w:val="BalloonTextChar"/>
    <w:uiPriority w:val="99"/>
    <w:semiHidden/>
    <w:unhideWhenUsed/>
    <w:rsid w:val="00323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FD"/>
    <w:rPr>
      <w:rFonts w:ascii="Segoe UI" w:hAnsi="Segoe UI" w:cs="Segoe UI"/>
      <w:sz w:val="18"/>
      <w:szCs w:val="18"/>
    </w:rPr>
  </w:style>
  <w:style w:type="character" w:customStyle="1" w:styleId="hitlisttitle">
    <w:name w:val="hitlist_title"/>
    <w:basedOn w:val="DefaultParagraphFont"/>
    <w:rsid w:val="005D7ABD"/>
  </w:style>
  <w:style w:type="paragraph" w:styleId="FootnoteText">
    <w:name w:val="footnote text"/>
    <w:basedOn w:val="Normal"/>
    <w:link w:val="FootnoteTextChar"/>
    <w:uiPriority w:val="99"/>
    <w:semiHidden/>
    <w:unhideWhenUsed/>
    <w:rsid w:val="00FE1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455"/>
    <w:rPr>
      <w:rFonts w:ascii="Times New Roman" w:hAnsi="Times New Roman"/>
      <w:sz w:val="20"/>
      <w:szCs w:val="20"/>
    </w:rPr>
  </w:style>
  <w:style w:type="character" w:styleId="FootnoteReference">
    <w:name w:val="footnote reference"/>
    <w:basedOn w:val="DefaultParagraphFont"/>
    <w:uiPriority w:val="99"/>
    <w:semiHidden/>
    <w:unhideWhenUsed/>
    <w:rsid w:val="00FE1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9849">
      <w:bodyDiv w:val="1"/>
      <w:marLeft w:val="0"/>
      <w:marRight w:val="0"/>
      <w:marTop w:val="0"/>
      <w:marBottom w:val="0"/>
      <w:divBdr>
        <w:top w:val="none" w:sz="0" w:space="0" w:color="auto"/>
        <w:left w:val="none" w:sz="0" w:space="0" w:color="auto"/>
        <w:bottom w:val="none" w:sz="0" w:space="0" w:color="auto"/>
        <w:right w:val="none" w:sz="0" w:space="0" w:color="auto"/>
      </w:divBdr>
    </w:div>
    <w:div w:id="935407479">
      <w:bodyDiv w:val="1"/>
      <w:marLeft w:val="0"/>
      <w:marRight w:val="0"/>
      <w:marTop w:val="0"/>
      <w:marBottom w:val="0"/>
      <w:divBdr>
        <w:top w:val="none" w:sz="0" w:space="0" w:color="auto"/>
        <w:left w:val="none" w:sz="0" w:space="0" w:color="auto"/>
        <w:bottom w:val="none" w:sz="0" w:space="0" w:color="auto"/>
        <w:right w:val="none" w:sz="0" w:space="0" w:color="auto"/>
      </w:divBdr>
      <w:divsChild>
        <w:div w:id="74128594">
          <w:marLeft w:val="0"/>
          <w:marRight w:val="0"/>
          <w:marTop w:val="0"/>
          <w:marBottom w:val="0"/>
          <w:divBdr>
            <w:top w:val="none" w:sz="0" w:space="0" w:color="auto"/>
            <w:left w:val="none" w:sz="0" w:space="0" w:color="auto"/>
            <w:bottom w:val="none" w:sz="0" w:space="0" w:color="auto"/>
            <w:right w:val="none" w:sz="0" w:space="0" w:color="auto"/>
          </w:divBdr>
        </w:div>
      </w:divsChild>
    </w:div>
    <w:div w:id="1275790486">
      <w:bodyDiv w:val="1"/>
      <w:marLeft w:val="0"/>
      <w:marRight w:val="0"/>
      <w:marTop w:val="0"/>
      <w:marBottom w:val="0"/>
      <w:divBdr>
        <w:top w:val="none" w:sz="0" w:space="0" w:color="auto"/>
        <w:left w:val="none" w:sz="0" w:space="0" w:color="auto"/>
        <w:bottom w:val="none" w:sz="0" w:space="0" w:color="auto"/>
        <w:right w:val="none" w:sz="0" w:space="0" w:color="auto"/>
      </w:divBdr>
      <w:divsChild>
        <w:div w:id="1543982422">
          <w:marLeft w:val="0"/>
          <w:marRight w:val="0"/>
          <w:marTop w:val="0"/>
          <w:marBottom w:val="0"/>
          <w:divBdr>
            <w:top w:val="none" w:sz="0" w:space="0" w:color="auto"/>
            <w:left w:val="none" w:sz="0" w:space="0" w:color="auto"/>
            <w:bottom w:val="none" w:sz="0" w:space="0" w:color="auto"/>
            <w:right w:val="none" w:sz="0" w:space="0" w:color="auto"/>
          </w:divBdr>
        </w:div>
        <w:div w:id="141847557">
          <w:marLeft w:val="0"/>
          <w:marRight w:val="0"/>
          <w:marTop w:val="0"/>
          <w:marBottom w:val="0"/>
          <w:divBdr>
            <w:top w:val="none" w:sz="0" w:space="0" w:color="auto"/>
            <w:left w:val="none" w:sz="0" w:space="0" w:color="auto"/>
            <w:bottom w:val="none" w:sz="0" w:space="0" w:color="auto"/>
            <w:right w:val="none" w:sz="0" w:space="0" w:color="auto"/>
          </w:divBdr>
        </w:div>
        <w:div w:id="791098730">
          <w:marLeft w:val="0"/>
          <w:marRight w:val="0"/>
          <w:marTop w:val="0"/>
          <w:marBottom w:val="0"/>
          <w:divBdr>
            <w:top w:val="none" w:sz="0" w:space="0" w:color="auto"/>
            <w:left w:val="none" w:sz="0" w:space="0" w:color="auto"/>
            <w:bottom w:val="none" w:sz="0" w:space="0" w:color="auto"/>
            <w:right w:val="none" w:sz="0" w:space="0" w:color="auto"/>
          </w:divBdr>
        </w:div>
      </w:divsChild>
    </w:div>
    <w:div w:id="1793014046">
      <w:bodyDiv w:val="1"/>
      <w:marLeft w:val="0"/>
      <w:marRight w:val="0"/>
      <w:marTop w:val="0"/>
      <w:marBottom w:val="0"/>
      <w:divBdr>
        <w:top w:val="none" w:sz="0" w:space="0" w:color="auto"/>
        <w:left w:val="none" w:sz="0" w:space="0" w:color="auto"/>
        <w:bottom w:val="none" w:sz="0" w:space="0" w:color="auto"/>
        <w:right w:val="none" w:sz="0" w:space="0" w:color="auto"/>
      </w:divBdr>
    </w:div>
    <w:div w:id="20562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gs.utoronto.ca/facultyandstaff/Pages/Policies-and-Guidelines.aspx" TargetMode="External"/><Relationship Id="rId18" Type="http://schemas.openxmlformats.org/officeDocument/2006/relationships/hyperlink" Target="http://www.writing.utoronto.ca/advice/using-sources/how-not-to-plagiarize" TargetMode="External"/><Relationship Id="rId26" Type="http://schemas.openxmlformats.org/officeDocument/2006/relationships/hyperlink" Target="https://www.chathamhouse.org/chatham-house-rule" TargetMode="External"/><Relationship Id="rId39" Type="http://schemas.openxmlformats.org/officeDocument/2006/relationships/hyperlink" Target="http://simplelink.library.utoronto.ca/url.cfm/377117" TargetMode="External"/><Relationship Id="rId21" Type="http://schemas.openxmlformats.org/officeDocument/2006/relationships/hyperlink" Target="http://www.academicintegrity.utoronto.ca" TargetMode="External"/><Relationship Id="rId34" Type="http://schemas.openxmlformats.org/officeDocument/2006/relationships/hyperlink" Target="http://www.bmj.com/content/337/bmj.a949.extract" TargetMode="External"/><Relationship Id="rId42" Type="http://schemas.openxmlformats.org/officeDocument/2006/relationships/hyperlink" Target="http://resolver.scholarsportal.info.myaccess.library.utoronto.ca/resolve/10497323/v23i0002/248_ratctt" TargetMode="External"/><Relationship Id="rId47" Type="http://schemas.openxmlformats.org/officeDocument/2006/relationships/hyperlink" Target="http://simplelink.library.utoronto.ca/url.cfm/377117" TargetMode="External"/><Relationship Id="rId50" Type="http://schemas.openxmlformats.org/officeDocument/2006/relationships/hyperlink" Target="http://www.nova.edu/ssss/QR/QR19/kenny103.pdf" TargetMode="External"/><Relationship Id="rId55" Type="http://schemas.openxmlformats.org/officeDocument/2006/relationships/hyperlink" Target="http://simplelink.library.utoronto.ca/url.cfm/377127" TargetMode="External"/><Relationship Id="rId63" Type="http://schemas.openxmlformats.org/officeDocument/2006/relationships/hyperlink" Target="http://jayneglass.weebly.com/uploads/3/7/9/9/3799002/more_than_themes.pdf" TargetMode="External"/><Relationship Id="rId68" Type="http://schemas.openxmlformats.org/officeDocument/2006/relationships/hyperlink" Target="http://qix.sagepub.com/content/10/2/261.short?rss=1&amp;ssource=mfc" TargetMode="External"/><Relationship Id="rId76" Type="http://schemas.openxmlformats.org/officeDocument/2006/relationships/hyperlink" Target="http://go.utlib.ca/cat/11238441"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pre.ethics.gc.ca/eng/policy-politique/initiatives/tcps2-eptc2/chapter10-chapitre10/" TargetMode="External"/><Relationship Id="rId2" Type="http://schemas.openxmlformats.org/officeDocument/2006/relationships/numbering" Target="numbering.xml"/><Relationship Id="rId16" Type="http://schemas.openxmlformats.org/officeDocument/2006/relationships/hyperlink" Target="http://www.illnessverificationutoronto.ca/" TargetMode="External"/><Relationship Id="rId29" Type="http://schemas.openxmlformats.org/officeDocument/2006/relationships/hyperlink" Target="https://dx-doi-org.myaccess.library.utoronto.ca/10.1136/bmj.a288" TargetMode="External"/><Relationship Id="rId11" Type="http://schemas.openxmlformats.org/officeDocument/2006/relationships/hyperlink" Target="https://teaching.utoronto.ca/ed-tech/teaching-technology/turnitin/" TargetMode="External"/><Relationship Id="rId24" Type="http://schemas.openxmlformats.org/officeDocument/2006/relationships/hyperlink" Target="https://www.utoronto.ca/message-from-the-university-regarding-the-coronavirus" TargetMode="External"/><Relationship Id="rId32" Type="http://schemas.openxmlformats.org/officeDocument/2006/relationships/hyperlink" Target="http://resolver.scholarsportal.info.myaccess.library.utoronto.ca/resolve/09518398/v22i0004/431_dqrqarp" TargetMode="External"/><Relationship Id="rId37" Type="http://schemas.openxmlformats.org/officeDocument/2006/relationships/hyperlink" Target="http://journals.sagepub.com.myaccess.library.utoronto.ca/doi/pdf/10.1177/107780040000600102" TargetMode="External"/><Relationship Id="rId40" Type="http://schemas.openxmlformats.org/officeDocument/2006/relationships/hyperlink" Target="http://simplelink.library.utoronto.ca/url.cfm/292136" TargetMode="External"/><Relationship Id="rId45" Type="http://schemas.openxmlformats.org/officeDocument/2006/relationships/hyperlink" Target="http://simplelink.library.utoronto.ca/url.cfm/508295" TargetMode="External"/><Relationship Id="rId53" Type="http://schemas.openxmlformats.org/officeDocument/2006/relationships/hyperlink" Target="http://simplelink.library.utoronto.ca/url.cfm/292128" TargetMode="External"/><Relationship Id="rId58" Type="http://schemas.openxmlformats.org/officeDocument/2006/relationships/hyperlink" Target="http://simplelink.library.utoronto.ca/url.cfm/507551" TargetMode="External"/><Relationship Id="rId66" Type="http://schemas.openxmlformats.org/officeDocument/2006/relationships/hyperlink" Target="http://qhr.sagepub.com.myaccess.library.utoronto.ca/content/13/10/1453.full.pdf+html" TargetMode="External"/><Relationship Id="rId74" Type="http://schemas.openxmlformats.org/officeDocument/2006/relationships/hyperlink" Target="http://www.cihr-irsc.gc.ca/e/49051.html"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uoft.me/2Tr" TargetMode="External"/><Relationship Id="rId82" Type="http://schemas.openxmlformats.org/officeDocument/2006/relationships/header" Target="header3.xml"/><Relationship Id="rId19" Type="http://schemas.openxmlformats.org/officeDocument/2006/relationships/hyperlink" Target="https://governingcouncil.utoronto.ca/secretariat/policies/code-behaviour-academic-matters-july-1-2019" TargetMode="External"/><Relationship Id="rId4" Type="http://schemas.openxmlformats.org/officeDocument/2006/relationships/settings" Target="settings.xml"/><Relationship Id="rId9" Type="http://schemas.openxmlformats.org/officeDocument/2006/relationships/hyperlink" Target="mailto:clara.juando@utoronto.ca" TargetMode="External"/><Relationship Id="rId14" Type="http://schemas.openxmlformats.org/officeDocument/2006/relationships/hyperlink" Target="http://www.governingcouncil.utoronto.ca/policies.htm" TargetMode="External"/><Relationship Id="rId22" Type="http://schemas.openxmlformats.org/officeDocument/2006/relationships/hyperlink" Target="http://aoda.hrandequity.utoronto.ca/" TargetMode="External"/><Relationship Id="rId27" Type="http://schemas.openxmlformats.org/officeDocument/2006/relationships/hyperlink" Target="https://doi.org/10.1177/1609406920920962" TargetMode="External"/><Relationship Id="rId30" Type="http://schemas.openxmlformats.org/officeDocument/2006/relationships/hyperlink" Target="http://nsuworks.nova.edu/tqr/vol7/iss1/2" TargetMode="External"/><Relationship Id="rId35" Type="http://schemas.openxmlformats.org/officeDocument/2006/relationships/hyperlink" Target="https://doi.org/10.1177%2F1609406918797475" TargetMode="External"/><Relationship Id="rId43" Type="http://schemas.openxmlformats.org/officeDocument/2006/relationships/hyperlink" Target="http://uoft.me/2NW" TargetMode="External"/><Relationship Id="rId48" Type="http://schemas.openxmlformats.org/officeDocument/2006/relationships/hyperlink" Target="http://simplelink.library.utoronto.ca/url.cfm/292122" TargetMode="External"/><Relationship Id="rId56" Type="http://schemas.openxmlformats.org/officeDocument/2006/relationships/hyperlink" Target="http://www.ualberta.ca/~iiqm/backissues/2_2/pdf/caellietal.pdf" TargetMode="External"/><Relationship Id="rId64" Type="http://schemas.openxmlformats.org/officeDocument/2006/relationships/hyperlink" Target="http://bmcmedresmethodol.biomedcentral.com/articles/10.1186/1471-2288-8-45" TargetMode="External"/><Relationship Id="rId69" Type="http://schemas.openxmlformats.org/officeDocument/2006/relationships/hyperlink" Target="http://simplelink.library.utoronto.ca/url.cfm/480140" TargetMode="External"/><Relationship Id="rId77" Type="http://schemas.openxmlformats.org/officeDocument/2006/relationships/hyperlink" Target="http://go.utlib.ca/cat/9272331" TargetMode="External"/><Relationship Id="rId8" Type="http://schemas.openxmlformats.org/officeDocument/2006/relationships/image" Target="media/image1.png"/><Relationship Id="rId51" Type="http://schemas.openxmlformats.org/officeDocument/2006/relationships/hyperlink" Target="https://journals-sagepub-com.myaccess.library.utoronto.ca/doi/abs/10.1177/1744987107081254" TargetMode="External"/><Relationship Id="rId72" Type="http://schemas.openxmlformats.org/officeDocument/2006/relationships/hyperlink" Target="http://simplelink.library.utoronto.ca/url.cfm/38411"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verningcouncil.utoronto.ca/Assets/Governing+Council+Digital+Assets/Policies/PDF/grading.pdf" TargetMode="External"/><Relationship Id="rId17" Type="http://schemas.openxmlformats.org/officeDocument/2006/relationships/hyperlink" Target="https://www.academicintegrity.utoronto.ca/" TargetMode="External"/><Relationship Id="rId25" Type="http://schemas.openxmlformats.org/officeDocument/2006/relationships/hyperlink" Target="http://www.governingcouncil.utoronto.ca/Assets/Governing+Council+Digital+Assets/Policies/PDF/grading.pdf" TargetMode="External"/><Relationship Id="rId33" Type="http://schemas.openxmlformats.org/officeDocument/2006/relationships/hyperlink" Target="http://dx.doi.org.myaccess.library.utoronto.ca/10.1080/13645579.2016.1144401" TargetMode="External"/><Relationship Id="rId38" Type="http://schemas.openxmlformats.org/officeDocument/2006/relationships/hyperlink" Target="http://simplelink.library.utoronto.ca/url.cfm/377092" TargetMode="External"/><Relationship Id="rId46" Type="http://schemas.openxmlformats.org/officeDocument/2006/relationships/hyperlink" Target="http://qhr.sagepub.com.myaccess.library.utoronto.ca/content/16/10/1317.full.pdf+html" TargetMode="External"/><Relationship Id="rId59" Type="http://schemas.openxmlformats.org/officeDocument/2006/relationships/hyperlink" Target="http://simplelink.library.utoronto.ca/url.cfm/508293" TargetMode="External"/><Relationship Id="rId67" Type="http://schemas.openxmlformats.org/officeDocument/2006/relationships/hyperlink" Target="http://simplelink.library.utoronto.ca/url.cfm/522026" TargetMode="External"/><Relationship Id="rId20" Type="http://schemas.openxmlformats.org/officeDocument/2006/relationships/hyperlink" Target="https://governingcouncil.utoronto.ca/secretariat/policies/code-behaviour-academic-matters-july-1-2019" TargetMode="External"/><Relationship Id="rId41" Type="http://schemas.openxmlformats.org/officeDocument/2006/relationships/hyperlink" Target="http://simplelink.library.utoronto.ca/url.cfm/292150" TargetMode="External"/><Relationship Id="rId54" Type="http://schemas.openxmlformats.org/officeDocument/2006/relationships/hyperlink" Target="http://simplelink.library.utoronto.ca/url.cfm/377126" TargetMode="External"/><Relationship Id="rId62" Type="http://schemas.openxmlformats.org/officeDocument/2006/relationships/hyperlink" Target="http://uoft.me/2SQ" TargetMode="External"/><Relationship Id="rId70" Type="http://schemas.openxmlformats.org/officeDocument/2006/relationships/hyperlink" Target="http://resolver.scholarsportal.info.myaccess.library.utoronto.ca/resolve/09660410/v09i0006/358_jteoqrctapm.xml" TargetMode="External"/><Relationship Id="rId75" Type="http://schemas.openxmlformats.org/officeDocument/2006/relationships/hyperlink" Target="https://www.sshrc-crsh.gc.ca/funding-financement/umbrella_programs-programme_cadre/insight-savoir-eng.aspx"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lnessverification.utoronto.ca/Frequently-Asked-Questions.htm" TargetMode="External"/><Relationship Id="rId23" Type="http://schemas.openxmlformats.org/officeDocument/2006/relationships/hyperlink" Target="http://www.illnessverification.utoronto.ca/index.php" TargetMode="External"/><Relationship Id="rId28" Type="http://schemas.openxmlformats.org/officeDocument/2006/relationships/hyperlink" Target="http://resolver.scholarsportal.info.myaccess.library.utoronto.ca/resolve/10497323/v14i0007/976_ppapiqrrtf" TargetMode="External"/><Relationship Id="rId36" Type="http://schemas.openxmlformats.org/officeDocument/2006/relationships/hyperlink" Target="http://resolver.scholarsportal.info.myaccess.library.utoronto.ca/resolve/01419889/v31i0003/441_hs.xml" TargetMode="External"/><Relationship Id="rId49" Type="http://schemas.openxmlformats.org/officeDocument/2006/relationships/hyperlink" Target="http://simplelink.library.utoronto.ca/url.cfm/377112" TargetMode="External"/><Relationship Id="rId57" Type="http://schemas.openxmlformats.org/officeDocument/2006/relationships/hyperlink" Target="https://ejournals.library.ualberta.ca/index.php/IJQM/article/view/19590/16141" TargetMode="External"/><Relationship Id="rId10" Type="http://schemas.openxmlformats.org/officeDocument/2006/relationships/hyperlink" Target="https://q.utoronto.ca/courses/46670/pages/student-quercus-guide" TargetMode="External"/><Relationship Id="rId31" Type="http://schemas.openxmlformats.org/officeDocument/2006/relationships/hyperlink" Target="http://simplelink.library.utoronto.ca/url.cfm/292119" TargetMode="External"/><Relationship Id="rId44" Type="http://schemas.openxmlformats.org/officeDocument/2006/relationships/hyperlink" Target="http://uoft.me/2NZ" TargetMode="External"/><Relationship Id="rId52" Type="http://schemas.openxmlformats.org/officeDocument/2006/relationships/hyperlink" Target="http://simplelink.library.utoronto.ca/url.cfm/377125" TargetMode="External"/><Relationship Id="rId60" Type="http://schemas.openxmlformats.org/officeDocument/2006/relationships/hyperlink" Target="http://resolver.scholarsportal.info.myaccess.library.utoronto.ca/resolve/15248399/v07i0003/312_ucprtahd" TargetMode="External"/><Relationship Id="rId65" Type="http://schemas.openxmlformats.org/officeDocument/2006/relationships/hyperlink" Target="http://resolver.scholarsportal.info.myaccess.library.utoronto.ca/resolve/10497323/v14i0010/1342_qmromoaia" TargetMode="External"/><Relationship Id="rId73" Type="http://schemas.openxmlformats.org/officeDocument/2006/relationships/hyperlink" Target="https://journal.cpha.ca/filesonline/forreviewers/en/qualitative_e.pdf"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8773-8C6A-4826-9ACF-065D7108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15</Pages>
  <Words>6500</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Juando Prats</dc:creator>
  <cp:lastModifiedBy>Clara Juando-Prats</cp:lastModifiedBy>
  <cp:revision>20</cp:revision>
  <cp:lastPrinted>2021-01-11T15:04:00Z</cp:lastPrinted>
  <dcterms:created xsi:type="dcterms:W3CDTF">2021-01-09T17:57:00Z</dcterms:created>
  <dcterms:modified xsi:type="dcterms:W3CDTF">2021-02-01T14:58:00Z</dcterms:modified>
</cp:coreProperties>
</file>